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BC82D" w14:textId="77777777" w:rsidR="006137FA" w:rsidRDefault="006137FA" w:rsidP="0098610A">
      <w:pPr>
        <w:spacing w:after="0" w:line="240" w:lineRule="auto"/>
        <w:jc w:val="center"/>
        <w:rPr>
          <w:rFonts w:ascii="Times New Roman" w:eastAsia="Yu Mincho" w:hAnsi="Times New Roman" w:cs="Times New Roman"/>
          <w:kern w:val="0"/>
          <w:lang w:eastAsia="lv-LV"/>
          <w14:ligatures w14:val="none"/>
        </w:rPr>
      </w:pPr>
    </w:p>
    <w:p w14:paraId="304A6878" w14:textId="77777777" w:rsidR="006137FA" w:rsidRDefault="006137FA" w:rsidP="0098610A">
      <w:pPr>
        <w:spacing w:after="0" w:line="240" w:lineRule="auto"/>
        <w:jc w:val="center"/>
        <w:rPr>
          <w:rFonts w:ascii="Times New Roman" w:eastAsia="Yu Mincho" w:hAnsi="Times New Roman" w:cs="Times New Roman"/>
          <w:kern w:val="0"/>
          <w:lang w:eastAsia="lv-LV"/>
          <w14:ligatures w14:val="none"/>
        </w:rPr>
      </w:pPr>
    </w:p>
    <w:p w14:paraId="591CB6D8" w14:textId="1B9B4FA0" w:rsidR="0098610A" w:rsidRPr="0098610A" w:rsidRDefault="0098610A" w:rsidP="0098610A">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Valsts sabiedrība ar ierobežotu atbildību "Autotransporta direkcija"</w:t>
      </w:r>
    </w:p>
    <w:p w14:paraId="3D9F59AE" w14:textId="77777777" w:rsidR="0098610A" w:rsidRPr="0098610A" w:rsidRDefault="0098610A" w:rsidP="0098610A">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reģ.Nr.40003429317</w:t>
      </w:r>
    </w:p>
    <w:p w14:paraId="2CF940FC" w14:textId="3189827C" w:rsidR="0098610A" w:rsidRDefault="0098610A" w:rsidP="009B03BF">
      <w:pPr>
        <w:spacing w:after="0" w:line="240" w:lineRule="auto"/>
        <w:jc w:val="center"/>
        <w:rPr>
          <w:rFonts w:ascii="Times New Roman" w:eastAsia="Yu Mincho" w:hAnsi="Times New Roman" w:cs="Times New Roman"/>
          <w:kern w:val="0"/>
          <w:lang w:eastAsia="lv-LV"/>
          <w14:ligatures w14:val="none"/>
        </w:rPr>
      </w:pPr>
      <w:r w:rsidRPr="0098610A">
        <w:rPr>
          <w:rFonts w:ascii="Times New Roman" w:eastAsia="Yu Mincho" w:hAnsi="Times New Roman" w:cs="Times New Roman"/>
          <w:kern w:val="0"/>
          <w:lang w:eastAsia="lv-LV"/>
          <w14:ligatures w14:val="none"/>
        </w:rPr>
        <w:t>Vaļņu iela 30, Rīga, LV-1050</w:t>
      </w:r>
    </w:p>
    <w:p w14:paraId="5289C465" w14:textId="77777777" w:rsidR="009B03BF" w:rsidRPr="0098610A" w:rsidRDefault="009B03BF" w:rsidP="009B03BF">
      <w:pPr>
        <w:spacing w:after="0" w:line="240" w:lineRule="auto"/>
        <w:jc w:val="center"/>
        <w:rPr>
          <w:rFonts w:ascii="Times New Roman" w:eastAsia="Yu Mincho" w:hAnsi="Times New Roman" w:cs="Times New Roman"/>
          <w:kern w:val="0"/>
          <w:lang w:eastAsia="lv-LV"/>
          <w14:ligatures w14:val="none"/>
        </w:rPr>
      </w:pPr>
    </w:p>
    <w:p w14:paraId="713EBC44" w14:textId="7E9FCF3F"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b/>
          <w:bCs/>
          <w:kern w:val="0"/>
          <w:lang w:eastAsia="lv-LV"/>
          <w14:ligatures w14:val="none"/>
        </w:rPr>
        <w:t xml:space="preserve">Iepirkums </w:t>
      </w:r>
    </w:p>
    <w:p w14:paraId="0EC969CD" w14:textId="6B6DA15B"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color w:val="000000"/>
          <w:kern w:val="0"/>
          <w:lang w:eastAsia="lv-LV"/>
          <w14:ligatures w14:val="none"/>
        </w:rPr>
        <w:t>“</w:t>
      </w:r>
      <w:r w:rsidR="00177F42" w:rsidRPr="00177F42">
        <w:rPr>
          <w:rFonts w:ascii="Times New Roman" w:eastAsia="Yu Mincho" w:hAnsi="Times New Roman" w:cs="Times New Roman"/>
          <w:color w:val="000000"/>
          <w:kern w:val="0"/>
          <w:lang w:eastAsia="lv-LV"/>
          <w14:ligatures w14:val="none"/>
        </w:rPr>
        <w:t>Juridisko pakalpojumu sniegšana</w:t>
      </w:r>
      <w:r w:rsidRPr="0098610A">
        <w:rPr>
          <w:rFonts w:ascii="Times New Roman" w:eastAsia="Yu Mincho" w:hAnsi="Times New Roman" w:cs="Times New Roman"/>
          <w:color w:val="000000"/>
          <w:kern w:val="0"/>
          <w:lang w:eastAsia="lv-LV"/>
          <w14:ligatures w14:val="none"/>
        </w:rPr>
        <w:t>”</w:t>
      </w:r>
    </w:p>
    <w:p w14:paraId="5FECA2EE" w14:textId="5480D9DF" w:rsidR="0098610A" w:rsidRDefault="0098610A" w:rsidP="0098610A">
      <w:pPr>
        <w:spacing w:after="0" w:line="240" w:lineRule="auto"/>
        <w:jc w:val="center"/>
        <w:rPr>
          <w:rFonts w:ascii="Times New Roman" w:eastAsia="Yu Mincho" w:hAnsi="Times New Roman" w:cs="Times New Roman"/>
          <w:b/>
          <w:bCs/>
          <w:kern w:val="0"/>
          <w:lang w:eastAsia="lv-LV"/>
          <w14:ligatures w14:val="none"/>
        </w:rPr>
      </w:pPr>
      <w:r w:rsidRPr="0098610A">
        <w:rPr>
          <w:rFonts w:ascii="Times New Roman" w:eastAsia="Yu Mincho" w:hAnsi="Times New Roman" w:cs="Times New Roman"/>
          <w:b/>
          <w:bCs/>
          <w:kern w:val="0"/>
          <w:lang w:eastAsia="lv-LV"/>
          <w14:ligatures w14:val="none"/>
        </w:rPr>
        <w:t>Id.Nr.AD2026/1</w:t>
      </w:r>
      <w:r w:rsidR="00177F42">
        <w:rPr>
          <w:rFonts w:ascii="Times New Roman" w:eastAsia="Yu Mincho" w:hAnsi="Times New Roman" w:cs="Times New Roman"/>
          <w:b/>
          <w:bCs/>
          <w:kern w:val="0"/>
          <w:lang w:eastAsia="lv-LV"/>
          <w14:ligatures w14:val="none"/>
        </w:rPr>
        <w:t>8</w:t>
      </w:r>
    </w:p>
    <w:p w14:paraId="2913899B" w14:textId="77777777" w:rsidR="009B03BF" w:rsidRDefault="009B03BF" w:rsidP="0098610A">
      <w:pPr>
        <w:spacing w:after="0" w:line="240" w:lineRule="auto"/>
        <w:jc w:val="center"/>
        <w:rPr>
          <w:rFonts w:ascii="Times New Roman" w:eastAsia="Yu Mincho" w:hAnsi="Times New Roman" w:cs="Times New Roman"/>
          <w:b/>
          <w:bCs/>
          <w:kern w:val="0"/>
          <w:lang w:eastAsia="lv-LV"/>
          <w14:ligatures w14:val="none"/>
        </w:rPr>
      </w:pPr>
    </w:p>
    <w:p w14:paraId="699CCA26" w14:textId="690C19CE" w:rsidR="00177F42" w:rsidRPr="0098610A" w:rsidRDefault="00177F42" w:rsidP="00177F42">
      <w:pPr>
        <w:spacing w:after="0" w:line="240" w:lineRule="auto"/>
        <w:jc w:val="center"/>
        <w:rPr>
          <w:rFonts w:ascii="Times New Roman" w:eastAsia="Yu Mincho" w:hAnsi="Times New Roman" w:cs="Times New Roman"/>
          <w:b/>
          <w:bCs/>
          <w:kern w:val="0"/>
          <w:lang w:eastAsia="lv-LV"/>
          <w14:ligatures w14:val="none"/>
        </w:rPr>
      </w:pPr>
      <w:r>
        <w:rPr>
          <w:rFonts w:ascii="Times New Roman" w:eastAsia="Yu Mincho" w:hAnsi="Times New Roman" w:cs="Times New Roman"/>
          <w:b/>
          <w:bCs/>
          <w:kern w:val="0"/>
          <w:lang w:eastAsia="lv-LV"/>
          <w14:ligatures w14:val="none"/>
        </w:rPr>
        <w:t>Ieinteresēt</w:t>
      </w:r>
      <w:r w:rsidR="006137FA">
        <w:rPr>
          <w:rFonts w:ascii="Times New Roman" w:eastAsia="Yu Mincho" w:hAnsi="Times New Roman" w:cs="Times New Roman"/>
          <w:b/>
          <w:bCs/>
          <w:kern w:val="0"/>
          <w:lang w:eastAsia="lv-LV"/>
          <w14:ligatures w14:val="none"/>
        </w:rPr>
        <w:t>o</w:t>
      </w:r>
      <w:r>
        <w:rPr>
          <w:rFonts w:ascii="Times New Roman" w:eastAsia="Yu Mincho" w:hAnsi="Times New Roman" w:cs="Times New Roman"/>
          <w:b/>
          <w:bCs/>
          <w:kern w:val="0"/>
          <w:lang w:eastAsia="lv-LV"/>
          <w14:ligatures w14:val="none"/>
        </w:rPr>
        <w:t xml:space="preserve"> piegādātāj</w:t>
      </w:r>
      <w:r w:rsidR="006137FA">
        <w:rPr>
          <w:rFonts w:ascii="Times New Roman" w:eastAsia="Yu Mincho" w:hAnsi="Times New Roman" w:cs="Times New Roman"/>
          <w:b/>
          <w:bCs/>
          <w:kern w:val="0"/>
          <w:lang w:eastAsia="lv-LV"/>
          <w14:ligatures w14:val="none"/>
        </w:rPr>
        <w:t>u</w:t>
      </w:r>
      <w:r>
        <w:rPr>
          <w:rFonts w:ascii="Times New Roman" w:eastAsia="Yu Mincho" w:hAnsi="Times New Roman" w:cs="Times New Roman"/>
          <w:b/>
          <w:bCs/>
          <w:kern w:val="0"/>
          <w:lang w:eastAsia="lv-LV"/>
          <w14:ligatures w14:val="none"/>
        </w:rPr>
        <w:t xml:space="preserve"> uzdot</w:t>
      </w:r>
      <w:r w:rsidR="006137FA">
        <w:rPr>
          <w:rFonts w:ascii="Times New Roman" w:eastAsia="Yu Mincho" w:hAnsi="Times New Roman" w:cs="Times New Roman"/>
          <w:b/>
          <w:bCs/>
          <w:kern w:val="0"/>
          <w:lang w:eastAsia="lv-LV"/>
          <w14:ligatures w14:val="none"/>
        </w:rPr>
        <w:t>ie j</w:t>
      </w:r>
      <w:r>
        <w:rPr>
          <w:rFonts w:ascii="Times New Roman" w:eastAsia="Yu Mincho" w:hAnsi="Times New Roman" w:cs="Times New Roman"/>
          <w:b/>
          <w:bCs/>
          <w:kern w:val="0"/>
          <w:lang w:eastAsia="lv-LV"/>
          <w14:ligatures w14:val="none"/>
        </w:rPr>
        <w:t>autājum</w:t>
      </w:r>
      <w:r w:rsidR="006137FA">
        <w:rPr>
          <w:rFonts w:ascii="Times New Roman" w:eastAsia="Yu Mincho" w:hAnsi="Times New Roman" w:cs="Times New Roman"/>
          <w:b/>
          <w:bCs/>
          <w:kern w:val="0"/>
          <w:lang w:eastAsia="lv-LV"/>
          <w14:ligatures w14:val="none"/>
        </w:rPr>
        <w:t xml:space="preserve">i </w:t>
      </w:r>
      <w:r>
        <w:rPr>
          <w:rFonts w:ascii="Times New Roman" w:eastAsia="Yu Mincho" w:hAnsi="Times New Roman" w:cs="Times New Roman"/>
          <w:b/>
          <w:bCs/>
          <w:kern w:val="0"/>
          <w:lang w:eastAsia="lv-LV"/>
          <w14:ligatures w14:val="none"/>
        </w:rPr>
        <w:t>un Iepirkuma komisijas atbilde</w:t>
      </w:r>
      <w:r w:rsidR="006137FA">
        <w:rPr>
          <w:rFonts w:ascii="Times New Roman" w:eastAsia="Yu Mincho" w:hAnsi="Times New Roman" w:cs="Times New Roman"/>
          <w:b/>
          <w:bCs/>
          <w:kern w:val="0"/>
          <w:lang w:eastAsia="lv-LV"/>
          <w14:ligatures w14:val="none"/>
        </w:rPr>
        <w:t>s</w:t>
      </w:r>
    </w:p>
    <w:p w14:paraId="14336CEA" w14:textId="77777777" w:rsidR="0098610A" w:rsidRPr="0098610A" w:rsidRDefault="0098610A" w:rsidP="0098610A">
      <w:pPr>
        <w:spacing w:after="0" w:line="240" w:lineRule="auto"/>
        <w:jc w:val="center"/>
        <w:rPr>
          <w:rFonts w:ascii="Times New Roman" w:eastAsia="Yu Mincho" w:hAnsi="Times New Roman" w:cs="Times New Roman"/>
          <w:b/>
          <w:bCs/>
          <w:kern w:val="0"/>
          <w:lang w:eastAsia="lv-LV"/>
          <w14:ligatures w14:val="none"/>
        </w:rPr>
      </w:pPr>
    </w:p>
    <w:tbl>
      <w:tblPr>
        <w:tblStyle w:val="TableGrid4"/>
        <w:tblW w:w="14170" w:type="dxa"/>
        <w:jc w:val="center"/>
        <w:tblInd w:w="0" w:type="dxa"/>
        <w:tblLayout w:type="fixed"/>
        <w:tblLook w:val="04A0" w:firstRow="1" w:lastRow="0" w:firstColumn="1" w:lastColumn="0" w:noHBand="0" w:noVBand="1"/>
      </w:tblPr>
      <w:tblGrid>
        <w:gridCol w:w="846"/>
        <w:gridCol w:w="6379"/>
        <w:gridCol w:w="6945"/>
      </w:tblGrid>
      <w:tr w:rsidR="006137FA" w:rsidRPr="00F9590A" w14:paraId="1568A4EB" w14:textId="4A6A9264" w:rsidTr="00265993">
        <w:trPr>
          <w:trHeight w:val="527"/>
          <w:jc w:val="center"/>
        </w:trPr>
        <w:tc>
          <w:tcPr>
            <w:tcW w:w="846" w:type="dxa"/>
            <w:shd w:val="clear" w:color="auto" w:fill="D9D9D9"/>
            <w:vAlign w:val="center"/>
          </w:tcPr>
          <w:p w14:paraId="032FE0DF" w14:textId="74E6C206" w:rsidR="006137FA" w:rsidRDefault="006137FA" w:rsidP="00265993">
            <w:pPr>
              <w:jc w:val="center"/>
              <w:rPr>
                <w:rFonts w:ascii="Times New Roman" w:eastAsia="Yu Mincho" w:hAnsi="Times New Roman"/>
                <w:b/>
                <w:bCs/>
                <w:color w:val="000000"/>
                <w:lang w:eastAsia="lv-LV"/>
              </w:rPr>
            </w:pPr>
            <w:r>
              <w:rPr>
                <w:rFonts w:ascii="Times New Roman" w:eastAsia="Yu Mincho" w:hAnsi="Times New Roman"/>
                <w:b/>
                <w:bCs/>
                <w:color w:val="000000"/>
                <w:lang w:eastAsia="lv-LV"/>
              </w:rPr>
              <w:t>Nr. p. k.</w:t>
            </w:r>
          </w:p>
        </w:tc>
        <w:tc>
          <w:tcPr>
            <w:tcW w:w="6379" w:type="dxa"/>
            <w:shd w:val="clear" w:color="auto" w:fill="D9D9D9"/>
            <w:vAlign w:val="center"/>
          </w:tcPr>
          <w:p w14:paraId="7DD95396" w14:textId="383277EF" w:rsidR="006137FA" w:rsidRPr="00F9590A" w:rsidRDefault="006137FA" w:rsidP="00265993">
            <w:pPr>
              <w:jc w:val="center"/>
              <w:rPr>
                <w:rFonts w:ascii="Times New Roman" w:eastAsia="Yu Mincho" w:hAnsi="Times New Roman"/>
                <w:b/>
                <w:bCs/>
                <w:color w:val="000000"/>
                <w:sz w:val="24"/>
                <w:szCs w:val="24"/>
                <w:lang w:eastAsia="lv-LV"/>
              </w:rPr>
            </w:pPr>
            <w:r>
              <w:rPr>
                <w:rFonts w:ascii="Times New Roman" w:eastAsia="Yu Mincho" w:hAnsi="Times New Roman"/>
                <w:b/>
                <w:bCs/>
                <w:color w:val="000000"/>
                <w:sz w:val="24"/>
                <w:szCs w:val="24"/>
                <w:lang w:eastAsia="lv-LV"/>
              </w:rPr>
              <w:t>Ieinteresētā piegādātāja jautājums</w:t>
            </w:r>
          </w:p>
        </w:tc>
        <w:tc>
          <w:tcPr>
            <w:tcW w:w="6945" w:type="dxa"/>
            <w:shd w:val="clear" w:color="auto" w:fill="D9D9D9"/>
            <w:vAlign w:val="center"/>
          </w:tcPr>
          <w:p w14:paraId="757EDAEC" w14:textId="2DDB3FE2" w:rsidR="006137FA" w:rsidRPr="00F9590A" w:rsidRDefault="006137FA" w:rsidP="00265993">
            <w:pPr>
              <w:jc w:val="center"/>
              <w:rPr>
                <w:rFonts w:ascii="Times New Roman" w:eastAsia="Yu Mincho" w:hAnsi="Times New Roman"/>
                <w:b/>
                <w:color w:val="000000"/>
                <w:lang w:eastAsia="lv-LV"/>
              </w:rPr>
            </w:pPr>
            <w:r w:rsidRPr="00F9590A">
              <w:rPr>
                <w:rFonts w:ascii="Times New Roman" w:eastAsia="Yu Mincho" w:hAnsi="Times New Roman"/>
                <w:b/>
                <w:color w:val="000000"/>
                <w:sz w:val="24"/>
                <w:szCs w:val="24"/>
                <w:lang w:eastAsia="lv-LV"/>
              </w:rPr>
              <w:t>Iepirkuma komisijas atbilde</w:t>
            </w:r>
            <w:r w:rsidR="007350D6">
              <w:rPr>
                <w:rFonts w:ascii="Times New Roman" w:eastAsia="Yu Mincho" w:hAnsi="Times New Roman"/>
                <w:b/>
                <w:color w:val="000000"/>
                <w:sz w:val="24"/>
                <w:szCs w:val="24"/>
                <w:lang w:eastAsia="lv-LV"/>
              </w:rPr>
              <w:t>s</w:t>
            </w:r>
          </w:p>
        </w:tc>
      </w:tr>
      <w:tr w:rsidR="006137FA" w:rsidRPr="00F9590A" w14:paraId="55634A82" w14:textId="1EA1835A" w:rsidTr="006137FA">
        <w:tblPrEx>
          <w:jc w:val="left"/>
        </w:tblPrEx>
        <w:trPr>
          <w:trHeight w:val="1094"/>
        </w:trPr>
        <w:tc>
          <w:tcPr>
            <w:tcW w:w="846" w:type="dxa"/>
          </w:tcPr>
          <w:p w14:paraId="4D39E85A" w14:textId="77777777" w:rsidR="006137FA" w:rsidRPr="00B6130D" w:rsidRDefault="006137FA"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36084BDF" w14:textId="77777777" w:rsidR="006137FA" w:rsidRPr="00265993" w:rsidRDefault="006137FA" w:rsidP="00265993">
            <w:pPr>
              <w:pStyle w:val="ListParagraph"/>
              <w:ind w:left="34"/>
              <w:jc w:val="both"/>
              <w:rPr>
                <w:rFonts w:ascii="Times New Roman" w:hAnsi="Times New Roman"/>
              </w:rPr>
            </w:pPr>
            <w:r w:rsidRPr="00265993">
              <w:rPr>
                <w:rFonts w:ascii="Times New Roman" w:hAnsi="Times New Roman"/>
              </w:rPr>
              <w:t>Lūdzam precizēt, kas Pasūtītāja izpratnē ir uzskatāms par rakstisku juridisku atzinumu nolikuma 3.3.5. un 3.3.6. punktu izpratnē. Vai par juridisku atzinumu ir uzskatāms tikai dokuments, kura nosaukumā ietverts vārds “atzinums”, vai arī par atbilstošu var tikt atzīts cita nosaukuma rakstveida juridiskās analīzes dokuments (piemēram, juridiskais izvērtējums, juridiskais memorands, juridiskais viedoklis u.tml.), ja tas satur tiesību normu analīzi un juridiskus secinājumus par konkrētu tiesību jautājumu?</w:t>
            </w:r>
          </w:p>
          <w:p w14:paraId="16ABBC4B" w14:textId="5ED284B4" w:rsidR="006137FA" w:rsidRPr="00265993" w:rsidRDefault="006137FA" w:rsidP="00265993">
            <w:pPr>
              <w:ind w:left="34"/>
              <w:jc w:val="both"/>
              <w:rPr>
                <w:rFonts w:ascii="Times New Roman" w:eastAsiaTheme="majorEastAsia" w:hAnsi="Times New Roman"/>
                <w:bCs/>
                <w:iCs/>
                <w:color w:val="000000" w:themeColor="text1"/>
              </w:rPr>
            </w:pPr>
          </w:p>
        </w:tc>
        <w:tc>
          <w:tcPr>
            <w:tcW w:w="6945" w:type="dxa"/>
          </w:tcPr>
          <w:p w14:paraId="3030F02F" w14:textId="77777777" w:rsidR="006137FA" w:rsidRPr="00265993" w:rsidRDefault="006137FA" w:rsidP="00265993">
            <w:pPr>
              <w:pStyle w:val="ListParagraph"/>
              <w:ind w:left="0"/>
              <w:jc w:val="both"/>
              <w:rPr>
                <w:rFonts w:ascii="Times New Roman" w:hAnsi="Times New Roman"/>
              </w:rPr>
            </w:pPr>
            <w:r w:rsidRPr="00265993">
              <w:rPr>
                <w:rFonts w:ascii="Times New Roman" w:hAnsi="Times New Roman"/>
              </w:rPr>
              <w:t>Pasūtītāja izpratnē Nolikuma 3.3.5. un 3.3.6. punktā noteiktās prasības izpildei dokuments netiek vērtēts pēc tā formālā nosaukuma. Par atbilstošu tiek atzīts jebkura veida un nosaukuma rakstveida dokuments (piemēram, juridiskais izvērtējums, memorands, viedoklis vai cits analītisks materiāls).</w:t>
            </w:r>
          </w:p>
          <w:p w14:paraId="1DF65E24" w14:textId="77777777" w:rsidR="006137FA" w:rsidRPr="00265993" w:rsidRDefault="006137FA" w:rsidP="00265993">
            <w:pPr>
              <w:jc w:val="both"/>
              <w:rPr>
                <w:rFonts w:ascii="Times New Roman" w:eastAsiaTheme="majorEastAsia" w:hAnsi="Times New Roman"/>
                <w:bCs/>
                <w:iCs/>
                <w:color w:val="000000" w:themeColor="text1"/>
              </w:rPr>
            </w:pPr>
          </w:p>
          <w:p w14:paraId="3538D1A9" w14:textId="0F8659D5" w:rsidR="006137FA" w:rsidRPr="00265993" w:rsidRDefault="006137FA" w:rsidP="00265993">
            <w:pPr>
              <w:tabs>
                <w:tab w:val="left" w:pos="4008"/>
              </w:tabs>
              <w:rPr>
                <w:rFonts w:ascii="Times New Roman" w:eastAsiaTheme="majorEastAsia" w:hAnsi="Times New Roman"/>
              </w:rPr>
            </w:pPr>
            <w:r w:rsidRPr="00265993">
              <w:rPr>
                <w:rFonts w:ascii="Times New Roman" w:eastAsiaTheme="majorEastAsia" w:hAnsi="Times New Roman"/>
              </w:rPr>
              <w:tab/>
            </w:r>
          </w:p>
        </w:tc>
      </w:tr>
      <w:tr w:rsidR="006137FA" w:rsidRPr="00F9590A" w14:paraId="50FF90F6" w14:textId="77777777" w:rsidTr="006137FA">
        <w:tblPrEx>
          <w:jc w:val="left"/>
        </w:tblPrEx>
        <w:trPr>
          <w:trHeight w:val="1094"/>
        </w:trPr>
        <w:tc>
          <w:tcPr>
            <w:tcW w:w="846" w:type="dxa"/>
          </w:tcPr>
          <w:p w14:paraId="5552D52B" w14:textId="77777777" w:rsidR="006137FA" w:rsidRPr="00B6130D" w:rsidRDefault="006137FA"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22D06E5B" w14:textId="77777777" w:rsidR="006137FA" w:rsidRPr="00265993" w:rsidRDefault="006137FA" w:rsidP="00265993">
            <w:pPr>
              <w:ind w:left="34"/>
              <w:jc w:val="both"/>
              <w:rPr>
                <w:rFonts w:ascii="Times New Roman" w:hAnsi="Times New Roman"/>
              </w:rPr>
            </w:pPr>
            <w:r w:rsidRPr="00265993">
              <w:rPr>
                <w:rFonts w:ascii="Times New Roman" w:hAnsi="Times New Roman"/>
              </w:rPr>
              <w:t>Lūdzam precizēt, vai nolikuma 3.3.5. punktā minētās tiesību jomas var savstarpēji pārklāties. Piemēram, ja viens juridiskais atzinums vienlaikus attiecas uz valsts atbalsta regulējuma piemērošanu un Eiropas Savienības tiesību jautājumiem, vai šāds atzinums var tikt ņemts vērā abās attiecīgajās tiesību jomās, vai arī katras tiesību jomas prasības izpildei nepieciešams norādīt atsevišķu juridisko atzinumu.</w:t>
            </w:r>
          </w:p>
          <w:p w14:paraId="1AD4F8D0" w14:textId="419391F2" w:rsidR="006137FA" w:rsidRPr="00265993" w:rsidRDefault="006137FA" w:rsidP="00265993">
            <w:pPr>
              <w:ind w:left="34"/>
              <w:jc w:val="both"/>
              <w:rPr>
                <w:rFonts w:ascii="Times New Roman" w:eastAsiaTheme="majorEastAsia" w:hAnsi="Times New Roman"/>
                <w:bCs/>
                <w:iCs/>
                <w:color w:val="000000" w:themeColor="text1"/>
              </w:rPr>
            </w:pPr>
          </w:p>
        </w:tc>
        <w:tc>
          <w:tcPr>
            <w:tcW w:w="6945" w:type="dxa"/>
          </w:tcPr>
          <w:p w14:paraId="585684CD" w14:textId="77777777" w:rsidR="006137FA" w:rsidRPr="00265993" w:rsidRDefault="006137FA" w:rsidP="00265993">
            <w:pPr>
              <w:jc w:val="both"/>
              <w:rPr>
                <w:rFonts w:ascii="Times New Roman" w:hAnsi="Times New Roman"/>
              </w:rPr>
            </w:pPr>
            <w:r w:rsidRPr="00265993">
              <w:rPr>
                <w:rFonts w:ascii="Times New Roman" w:hAnsi="Times New Roman"/>
              </w:rPr>
              <w:t>Nolikuma 3.3.5. punkta prasības mērķis ir gūt nepārprotamu pārliecību par Pretendenta vispusīgu, daudzveidīgu un praktisku pieredzi katrā no norādītajām tiesību jomām atsevišķu uzdevumu izpildē.</w:t>
            </w:r>
          </w:p>
          <w:p w14:paraId="0A319108" w14:textId="77777777" w:rsidR="006137FA" w:rsidRPr="00265993" w:rsidRDefault="006137FA" w:rsidP="00265993">
            <w:pPr>
              <w:jc w:val="both"/>
              <w:rPr>
                <w:rFonts w:ascii="Times New Roman" w:hAnsi="Times New Roman"/>
              </w:rPr>
            </w:pPr>
            <w:r w:rsidRPr="00265993">
              <w:rPr>
                <w:rFonts w:ascii="Times New Roman" w:hAnsi="Times New Roman"/>
              </w:rPr>
              <w:t>Līdz ar to, lai apliecinātu atbilstību Nolikuma 3.3.5. punkta prasībām, katras prasītās tiesību jomas izpildei ir jānorāda atsevišķs (atsevišķa uzdevuma/līguma ietvaros izstrādāts) rakstisks juridisks atzinums. Viens un tas pats juridisks atzinums nevar tikt norādīts un izmantots kā atbilstības apliecinājums vairākās Nolikuma 3.3.5. punktā minētajā jomās vienlaikus.</w:t>
            </w:r>
          </w:p>
          <w:p w14:paraId="7759F456" w14:textId="77777777" w:rsidR="006137FA" w:rsidRPr="00265993" w:rsidRDefault="006137FA" w:rsidP="00265993">
            <w:pPr>
              <w:jc w:val="both"/>
              <w:rPr>
                <w:rFonts w:ascii="Times New Roman" w:eastAsiaTheme="majorEastAsia" w:hAnsi="Times New Roman"/>
                <w:bCs/>
                <w:iCs/>
                <w:color w:val="000000" w:themeColor="text1"/>
              </w:rPr>
            </w:pPr>
          </w:p>
        </w:tc>
      </w:tr>
      <w:tr w:rsidR="006137FA" w:rsidRPr="00F9590A" w14:paraId="075A8E83" w14:textId="77777777" w:rsidTr="006137FA">
        <w:tblPrEx>
          <w:jc w:val="left"/>
        </w:tblPrEx>
        <w:trPr>
          <w:trHeight w:val="1094"/>
        </w:trPr>
        <w:tc>
          <w:tcPr>
            <w:tcW w:w="846" w:type="dxa"/>
          </w:tcPr>
          <w:p w14:paraId="5EC0BA36" w14:textId="77777777" w:rsidR="006137FA" w:rsidRPr="00B6130D" w:rsidRDefault="006137FA"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776901CF" w14:textId="446B91DF" w:rsidR="006137FA" w:rsidRPr="00265993" w:rsidRDefault="00B6130D"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svītrot vai pārformulēt Nolikuma 3.3.6. punkta 3. un 4. apakšpunktu, skaidri nosakot, ka zvērinātu advokātu biroja konsultatīvais un atbalsta personāls neveic juridiskās palīdzības sniegšanu klientam; ja Pasūtītājam nepieciešams papildu juridiskās palīdzības sniedzējs, attiecīgā prasība nosakāma zvērinātam advokātam vai zvērināta advokāta palīgam, ievērojot viņa likumā noteikto kompetenci;</w:t>
            </w:r>
          </w:p>
        </w:tc>
        <w:tc>
          <w:tcPr>
            <w:tcW w:w="6945" w:type="dxa"/>
          </w:tcPr>
          <w:p w14:paraId="1277573E" w14:textId="3BD2A5B6" w:rsidR="006137FA"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 xml:space="preserve">Pasūtītājs Iepirkuma nolikumā – ne Tehniskajā specifikācijā, ne Līguma projektā nav paredzējis, ka zvērinātu advokātu biroja (ZAB) konsultatīvais vai atbalsta personāls patstāvīgi nodarbosies ar juridiskās palīdzības sniegšanu nošķirti no ZAB un tā advokātiem. Visi Iepirkuma līguma izpildes gaitā veicamie uzdevumi tiks nodrošināti, pārbaudīti, apstiprināti un sniegti </w:t>
            </w:r>
            <w:r w:rsidRPr="00265993">
              <w:rPr>
                <w:rFonts w:ascii="Times New Roman" w:eastAsiaTheme="majorEastAsia" w:hAnsi="Times New Roman"/>
                <w:bCs/>
                <w:iCs/>
                <w:color w:val="000000" w:themeColor="text1"/>
              </w:rPr>
              <w:lastRenderedPageBreak/>
              <w:t>Pasūtītājam ZAB un tā zvērinātu advokātu tiešā vadībā, pārraudzībā un atbildībā.</w:t>
            </w:r>
          </w:p>
        </w:tc>
      </w:tr>
      <w:tr w:rsidR="00B6130D" w:rsidRPr="00F9590A" w14:paraId="072D978A" w14:textId="77777777" w:rsidTr="006137FA">
        <w:tblPrEx>
          <w:jc w:val="left"/>
        </w:tblPrEx>
        <w:trPr>
          <w:trHeight w:val="1094"/>
        </w:trPr>
        <w:tc>
          <w:tcPr>
            <w:tcW w:w="846" w:type="dxa"/>
          </w:tcPr>
          <w:p w14:paraId="29ACC7BA" w14:textId="77777777" w:rsidR="00B6130D" w:rsidRPr="00B6130D" w:rsidRDefault="00B6130D"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1C30EDDE" w14:textId="77777777" w:rsidR="00B6130D" w:rsidRPr="00265993" w:rsidRDefault="00B6130D" w:rsidP="00265993">
            <w:pPr>
              <w:ind w:left="34"/>
              <w:jc w:val="both"/>
              <w:rPr>
                <w:rFonts w:ascii="Times New Roman" w:eastAsiaTheme="majorEastAsia" w:hAnsi="Times New Roman"/>
                <w:bCs/>
                <w:iCs/>
                <w:color w:val="000000" w:themeColor="text1"/>
              </w:rPr>
            </w:pPr>
          </w:p>
          <w:p w14:paraId="6476E829" w14:textId="70D0DC7C" w:rsidR="00B6130D" w:rsidRPr="00265993" w:rsidRDefault="00B6130D" w:rsidP="00265993">
            <w:pPr>
              <w:tabs>
                <w:tab w:val="left" w:pos="3936"/>
              </w:tabs>
              <w:ind w:left="34"/>
              <w:rPr>
                <w:rFonts w:ascii="Times New Roman" w:eastAsiaTheme="majorEastAsia" w:hAnsi="Times New Roman"/>
              </w:rPr>
            </w:pPr>
            <w:r w:rsidRPr="00265993">
              <w:rPr>
                <w:rFonts w:ascii="Times New Roman" w:eastAsiaTheme="majorEastAsia" w:hAnsi="Times New Roman"/>
              </w:rPr>
              <w:t>svītrot vai attiecīgi pārformulēt vērtēšanas kritērijus K2 un K4, nepiešķirot punktus personai bez advokāta statusa par juridisku konsultāciju sniegšanu vai klienta pārstāvību zvērinātu advokātu biroja pakalpojuma ietvaros;</w:t>
            </w:r>
          </w:p>
        </w:tc>
        <w:tc>
          <w:tcPr>
            <w:tcW w:w="6945" w:type="dxa"/>
          </w:tcPr>
          <w:p w14:paraId="1D9FDE7E"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Iepirkuma komisija norāda, ka šo kritēriju (K2 un K4) mērķis ir novērtēt Iepirkuma līguma izpildē iesaistāmā personāla faktisko pieredzi, analītiskās spējas un kompetenci attiecīgajās tiesību nozarēs. Punktu piešķiršana par speciālista iepriekšējo pieredzi nepiešķir un nemaina šīs personas tiesisko statusu, bet sniedz Pasūtītājam pamatotu pārliecinātību par piesaistītās komandas faktisko kvalifikācijas līmeni un spēju nodrošināt kvalitatīvu analītisko un sagatavošanas darbu.</w:t>
            </w:r>
          </w:p>
          <w:p w14:paraId="40B55293" w14:textId="192754BA"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Vienlaikus Iepirkuma komisija uzsver, ka atbilstoši skaidrojumam par Nolikuma 3.3.6. punktu Pretendentam ir pilnīga rīcības brīvība un tiesības noformēt savu piedāvājumu un profesionālo komandu pēc saviem ieskatiem.</w:t>
            </w:r>
          </w:p>
        </w:tc>
      </w:tr>
      <w:tr w:rsidR="00B6130D" w:rsidRPr="00F9590A" w14:paraId="2A717180" w14:textId="77777777" w:rsidTr="006137FA">
        <w:tblPrEx>
          <w:jc w:val="left"/>
        </w:tblPrEx>
        <w:trPr>
          <w:trHeight w:val="1094"/>
        </w:trPr>
        <w:tc>
          <w:tcPr>
            <w:tcW w:w="846" w:type="dxa"/>
          </w:tcPr>
          <w:p w14:paraId="1E27D6BC" w14:textId="77777777" w:rsidR="00B6130D" w:rsidRPr="00B6130D" w:rsidRDefault="00B6130D"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7965BA8B" w14:textId="11367013" w:rsidR="00B6130D" w:rsidRPr="00265993" w:rsidRDefault="00B6130D"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grozīt tehnisko specifikāciju, finanšu piedāvājuma formu un līguma projektu, nodrošinot, ka juridisko palīdzību Pasūtītājam sniedz tikai personas, kurām Advokatūras likums piešķir tiesības to darīt, bet konsultatīvā un atbalsta personāla izmaksas netiek uzrādītas kā patstāvīgi sniegts juridiskais pakalpojums;</w:t>
            </w:r>
          </w:p>
        </w:tc>
        <w:tc>
          <w:tcPr>
            <w:tcW w:w="6945" w:type="dxa"/>
          </w:tcPr>
          <w:p w14:paraId="5FE6FFF1"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 xml:space="preserve">Atkārtoti norādām, ka zvērinātu advokātu biroja (ZAB) konsultatīvais vai atbalsta personāls patstāvīgi nenodarbosies ar juridiskās palīdzības sniegšanu nošķirti no ZAB un tā advokātiem. </w:t>
            </w:r>
          </w:p>
          <w:p w14:paraId="3BF59B4A" w14:textId="77777777" w:rsidR="00B6130D" w:rsidRPr="00265993" w:rsidRDefault="00B6130D" w:rsidP="00265993">
            <w:pPr>
              <w:jc w:val="both"/>
              <w:rPr>
                <w:rFonts w:ascii="Times New Roman" w:eastAsiaTheme="majorEastAsia" w:hAnsi="Times New Roman"/>
                <w:bCs/>
                <w:iCs/>
                <w:color w:val="000000" w:themeColor="text1"/>
              </w:rPr>
            </w:pPr>
          </w:p>
          <w:p w14:paraId="58533E72"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Attiecībā uz Finanšu piedāvājumā (3. pielikums) norādīto darba stundu sadalījumu un speciālistu kategorijām Iepirkuma komisija paskaidro, ka Finanšu piedāvājuma tabulā norādītais stundu apjoms un no tā izrietošā kopējā finanšu piedāvājuma summa ir provizoriska un nodrošina pretendentu finanšu piedāvājumu salīdzināšanu un vērtēšanu iepirkuma ietvaros.</w:t>
            </w:r>
          </w:p>
          <w:p w14:paraId="0C8F9015" w14:textId="77777777" w:rsidR="00B6130D" w:rsidRPr="00265993" w:rsidRDefault="00B6130D" w:rsidP="00265993">
            <w:pPr>
              <w:jc w:val="both"/>
              <w:rPr>
                <w:rFonts w:ascii="Times New Roman" w:eastAsiaTheme="majorEastAsia" w:hAnsi="Times New Roman"/>
                <w:bCs/>
                <w:iCs/>
                <w:color w:val="000000" w:themeColor="text1"/>
              </w:rPr>
            </w:pPr>
          </w:p>
          <w:p w14:paraId="4EB254F1" w14:textId="7A9721FC"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Atsevišķu stundas likmju noteikšana ZAB konsultatīvajam personālam ("Juristam" un "Jaunākajam juristam") Finanšu piedāvājuma formā nodrošina to, ka Pasūtītājam līguma izpildes gaitā nav jāmaksā augstākā zvērināta advokāta (vai partnera) stundas likme par tehniska, analītiska vai sagatavošanas rakstura uzdevumu izpildi, kurus faktiski veic ZAB piesaistītais konsultatīvais personāls advokāta uzraudzībā. Tādējādi šāds finanšu mehānisms tieši aizsargā Pasūtītāju no nepamatotiem tēriņiem un nodrošina Publisko iepirkumu likuma 2. pantā nostiprināto pasūtītāja finanšu līdzekļu efektīvas un saimnieciskas izmantošanas principu.</w:t>
            </w:r>
          </w:p>
        </w:tc>
      </w:tr>
      <w:tr w:rsidR="00B6130D" w:rsidRPr="00F9590A" w14:paraId="34DC33CD" w14:textId="77777777" w:rsidTr="006137FA">
        <w:tblPrEx>
          <w:jc w:val="left"/>
        </w:tblPrEx>
        <w:trPr>
          <w:trHeight w:val="1094"/>
        </w:trPr>
        <w:tc>
          <w:tcPr>
            <w:tcW w:w="846" w:type="dxa"/>
          </w:tcPr>
          <w:p w14:paraId="27A0735B" w14:textId="77777777" w:rsidR="00B6130D" w:rsidRPr="00B6130D" w:rsidRDefault="00B6130D"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51763AC1" w14:textId="11904730" w:rsidR="00B6130D" w:rsidRPr="00265993" w:rsidRDefault="00B6130D"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precizēt Nolikuma 3.3.6. punkta 1. apakšpunktu, nosakot Partnerim zvērināta advokāta statusu, ja ar jēdzienu “Partneris” saprotams zvērinātu advokātu biroja biedrs vai dalībnieks;</w:t>
            </w:r>
          </w:p>
        </w:tc>
        <w:tc>
          <w:tcPr>
            <w:tcW w:w="6945" w:type="dxa"/>
          </w:tcPr>
          <w:p w14:paraId="76BB8C9E"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Iepirkuma komisija paskaidro, ka Nolikuma 3.3.6.1. apakšpunktā ar jēdzienu “Partneris” ir saprotams zvērinātu advokātu biroja partneris (biedrs).</w:t>
            </w:r>
          </w:p>
          <w:p w14:paraId="140E6E08"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Atbilstoši Advokatūras likumam par zvērinātu advokātu biroja biedru var būt tikai zvērināts advokāts. Līdz ar to no Nolikuma 3.3.6.1. apakšpunktā lietotā jēdziena “Partneris”, to piemērojot kopsakarā ar Advokatūras likuma prasībām, jau izriet, ka attiecīgajai personai ir jābūt zvērinātam advokātam.</w:t>
            </w:r>
          </w:p>
          <w:p w14:paraId="089FDA4A" w14:textId="77777777"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lastRenderedPageBreak/>
              <w:t>Tādēļ Iepirkuma komisija nesaskata nepieciešamību Nolikuma 3.3.6.1. apakšpunktā papildus atkārtot Advokatūras likumā noteikto prasību vai veikt attiecīgus grozījumus Nolikumā.</w:t>
            </w:r>
          </w:p>
          <w:p w14:paraId="3FB8F001" w14:textId="7785F0E4"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Vienlaikus atbilstoši Nolikuma 3.3.6. punkta piezīmei “Partnera” un “Zvērināta advokāta” pozīciju var nodrošināt viena un tā pati persona, ja tā atbilst katrai no attiecīgajām pozīcijām noteiktajām prasībām.</w:t>
            </w:r>
          </w:p>
        </w:tc>
      </w:tr>
      <w:tr w:rsidR="00B6130D" w:rsidRPr="00F9590A" w14:paraId="46C414A5" w14:textId="77777777" w:rsidTr="006137FA">
        <w:tblPrEx>
          <w:jc w:val="left"/>
        </w:tblPrEx>
        <w:trPr>
          <w:trHeight w:val="1094"/>
        </w:trPr>
        <w:tc>
          <w:tcPr>
            <w:tcW w:w="846" w:type="dxa"/>
          </w:tcPr>
          <w:p w14:paraId="62542F56" w14:textId="77777777" w:rsidR="00B6130D" w:rsidRPr="00B6130D" w:rsidRDefault="00B6130D" w:rsidP="00B6130D">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52A8F385" w14:textId="20EA1D87" w:rsidR="00B6130D" w:rsidRPr="00265993" w:rsidRDefault="00B6130D"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pēc grozījumu izdarīšanas pagarināt piedāvājumu iesniegšanas termiņu par pietiekamu laiku, lai ieinteresētie piegādātāji varētu sagatavot grozītajām prasībām atbilstošus piedāvājumus.</w:t>
            </w:r>
          </w:p>
        </w:tc>
        <w:tc>
          <w:tcPr>
            <w:tcW w:w="6945" w:type="dxa"/>
          </w:tcPr>
          <w:p w14:paraId="36932A21" w14:textId="70FCBD7A" w:rsidR="00B6130D" w:rsidRPr="00265993" w:rsidRDefault="00B6130D"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Izskatot saņemtos ieinteresētā piegādātāja jautājumus un ierosinājumus, Iepirkuma komisijas ieskatā Iepirkuma dokumentācijā nav veicami grozījumi, jo Nolikuma un tā pielikumu nosacījumi ir skaidri un tiesiski pamatoti. Tā kā grozījumi Iepirkuma dokumentācijā netiek veikti, nav objektīva pamata pagarināt piedāvājumu iesniegšanas termiņu.</w:t>
            </w:r>
          </w:p>
        </w:tc>
      </w:tr>
      <w:tr w:rsidR="00B6130D" w:rsidRPr="00F9590A" w14:paraId="3F43D58B" w14:textId="77777777" w:rsidTr="006137FA">
        <w:tblPrEx>
          <w:jc w:val="left"/>
        </w:tblPrEx>
        <w:trPr>
          <w:trHeight w:val="1094"/>
        </w:trPr>
        <w:tc>
          <w:tcPr>
            <w:tcW w:w="846" w:type="dxa"/>
          </w:tcPr>
          <w:p w14:paraId="209D2379" w14:textId="77777777" w:rsidR="00B6130D" w:rsidRPr="00265993" w:rsidRDefault="00B6130D"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4766AB9A" w14:textId="5AC03896" w:rsidR="00B6130D"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Nolikuma 3.3.6. punktā un 4.8. punkta kritērijos K2 un K4 lietotais jēdziens “jurists” ietver arī zvērinātu advokātu, zvērināta advokāta palīgu un Eiropas Savienības dalībvalsts advokātu?</w:t>
            </w:r>
          </w:p>
        </w:tc>
        <w:tc>
          <w:tcPr>
            <w:tcW w:w="6945" w:type="dxa"/>
          </w:tcPr>
          <w:p w14:paraId="48D21A32" w14:textId="17723BC2" w:rsidR="00B6130D"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Nolikuma 3.3.6. punktā noteiktajai Jurista lomai var tikt piedāvāts arī zvērināts advokāts, zvērināta advokāta palīgs vai Eiropas Savienības dalībvalsts advokāts, ja attiecīgā persona atbilst visām Nolikumā Juristam noteiktajām kvalifikācijas un pieredzes prasībām.</w:t>
            </w:r>
          </w:p>
        </w:tc>
      </w:tr>
      <w:tr w:rsidR="00B6130D" w:rsidRPr="00F9590A" w14:paraId="16427384" w14:textId="77777777" w:rsidTr="006137FA">
        <w:tblPrEx>
          <w:jc w:val="left"/>
        </w:tblPrEx>
        <w:trPr>
          <w:trHeight w:val="1094"/>
        </w:trPr>
        <w:tc>
          <w:tcPr>
            <w:tcW w:w="846" w:type="dxa"/>
          </w:tcPr>
          <w:p w14:paraId="47D07768" w14:textId="77777777" w:rsidR="00B6130D" w:rsidRPr="00265993" w:rsidRDefault="00B6130D"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2381AB72" w14:textId="6F631C85" w:rsidR="00B6130D"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par atbilstošu speciālistu Nolikuma 3.3.6. punkta, kā arī K2 un K4 kritērija izpratnē tiks atzīts zvērināts advokāts, zvērināta advokāta palīgs vai Eiropas Savienības dalībvalsts advokāts, kuram ir jurista profesionālā kvalifikācija un attiecīgā pieredze?</w:t>
            </w:r>
          </w:p>
        </w:tc>
        <w:tc>
          <w:tcPr>
            <w:tcW w:w="6945" w:type="dxa"/>
          </w:tcPr>
          <w:p w14:paraId="409B0603" w14:textId="51152E79" w:rsidR="00B6130D"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Ja attiecīgā persona atbilst Nolikuma 3.3.6.3. apakšpunktā Juristam noteiktajām prasībām un ir piedāvāta Jurista lomai, tās pieredze tiks vērtēta arī K2 un K4 kritērijā</w:t>
            </w:r>
          </w:p>
        </w:tc>
      </w:tr>
      <w:tr w:rsidR="00265993" w:rsidRPr="00F9590A" w14:paraId="7E3DCD59" w14:textId="77777777" w:rsidTr="006137FA">
        <w:tblPrEx>
          <w:jc w:val="left"/>
        </w:tblPrEx>
        <w:trPr>
          <w:trHeight w:val="1094"/>
        </w:trPr>
        <w:tc>
          <w:tcPr>
            <w:tcW w:w="846" w:type="dxa"/>
          </w:tcPr>
          <w:p w14:paraId="66E1A280"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792403E7" w14:textId="31D82D30"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tiks grozīts Nolikuma 3.3.6. punkts un K2 un K4 kritērijs, papildinot tajos lietoto jēdzienu “jurists”?</w:t>
            </w:r>
          </w:p>
        </w:tc>
        <w:tc>
          <w:tcPr>
            <w:tcW w:w="6945" w:type="dxa"/>
          </w:tcPr>
          <w:p w14:paraId="75B6BB56" w14:textId="011E29B0"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Nē. Iepirkuma komisija nesaskata nepieciešamību veikt šādus grozījumus, jo personas zvērināta advokāta, zvērināta advokāta palīga vai Eiropas Savienības dalībvalsts advokāta profesionālais statuss neliedz šo personu piedāvāt Jurista lomai, ja tā atbilst attiecīgajām Nolikuma prasībām.</w:t>
            </w:r>
          </w:p>
        </w:tc>
      </w:tr>
      <w:tr w:rsidR="00265993" w:rsidRPr="00F9590A" w14:paraId="4AB8811E" w14:textId="77777777" w:rsidTr="006137FA">
        <w:tblPrEx>
          <w:jc w:val="left"/>
        </w:tblPrEx>
        <w:trPr>
          <w:trHeight w:val="1094"/>
        </w:trPr>
        <w:tc>
          <w:tcPr>
            <w:tcW w:w="846" w:type="dxa"/>
          </w:tcPr>
          <w:p w14:paraId="6FB933E4"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2F08AC7D" w14:textId="66629EC3"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saistībā ar minēto tiks precizēts Nolikums un pagarināts piedāvājumu iesniegšanas termiņš?</w:t>
            </w:r>
          </w:p>
        </w:tc>
        <w:tc>
          <w:tcPr>
            <w:tcW w:w="6945" w:type="dxa"/>
          </w:tcPr>
          <w:p w14:paraId="7ACDF838" w14:textId="7460E3FF"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Nē. Ņemot vērā iepriekš sniegto skaidrojumu, Iepirkuma komisija nesaskata nepieciešamību grozīt Nolikumu vai pagarināt piedāvājumu iesniegšanas termiņu.</w:t>
            </w:r>
          </w:p>
        </w:tc>
      </w:tr>
      <w:tr w:rsidR="00265993" w:rsidRPr="00F9590A" w14:paraId="0C22E8AD" w14:textId="77777777" w:rsidTr="006137FA">
        <w:tblPrEx>
          <w:jc w:val="left"/>
        </w:tblPrEx>
        <w:trPr>
          <w:trHeight w:val="1094"/>
        </w:trPr>
        <w:tc>
          <w:tcPr>
            <w:tcW w:w="846" w:type="dxa"/>
          </w:tcPr>
          <w:p w14:paraId="6EBBAC0F"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30C4AEC4" w14:textId="6D81A8B1"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K2 kritērijā pieredze jāapliecina vienam konkrētam Juristam, vai arī var summēt vairāku piedāvāto speciālistu pieredzi?</w:t>
            </w:r>
          </w:p>
        </w:tc>
        <w:tc>
          <w:tcPr>
            <w:tcW w:w="6945" w:type="dxa"/>
          </w:tcPr>
          <w:p w14:paraId="04715DAA" w14:textId="35726097"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K2 kritērijā tiek vērtēta viena konkrēta Pretendenta Jurista lomai piedāvātā speciālista pieredze. Vairāku speciālistu pieredze K2 kritērija ietvaros netiek summēta.</w:t>
            </w:r>
          </w:p>
        </w:tc>
      </w:tr>
      <w:tr w:rsidR="00265993" w:rsidRPr="00F9590A" w14:paraId="2DF0E15D" w14:textId="77777777" w:rsidTr="006137FA">
        <w:tblPrEx>
          <w:jc w:val="left"/>
        </w:tblPrEx>
        <w:trPr>
          <w:trHeight w:val="1094"/>
        </w:trPr>
        <w:tc>
          <w:tcPr>
            <w:tcW w:w="846" w:type="dxa"/>
          </w:tcPr>
          <w:p w14:paraId="28B95B2A"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69EB32D2" w14:textId="01E3EECC"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K4 kritērijā pieredze jāapliecina vienam konkrētam Juristam, vai arī var summēt vairāku piedāvāto speciālistu pieredzi?</w:t>
            </w:r>
          </w:p>
        </w:tc>
        <w:tc>
          <w:tcPr>
            <w:tcW w:w="6945" w:type="dxa"/>
          </w:tcPr>
          <w:p w14:paraId="7F0996F3" w14:textId="2713BC26"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K4 kritērijā tiek vērtēta viena konkrēta Pretendenta Jurista lomai piedāvātā speciālista pieredze. Vairāku speciālistu pieredze K4 kritērija ietvaros netiek summēta.</w:t>
            </w:r>
          </w:p>
        </w:tc>
      </w:tr>
      <w:tr w:rsidR="00265993" w:rsidRPr="00F9590A" w14:paraId="6926DEA6" w14:textId="77777777" w:rsidTr="006137FA">
        <w:tblPrEx>
          <w:jc w:val="left"/>
        </w:tblPrEx>
        <w:trPr>
          <w:trHeight w:val="1094"/>
        </w:trPr>
        <w:tc>
          <w:tcPr>
            <w:tcW w:w="846" w:type="dxa"/>
          </w:tcPr>
          <w:p w14:paraId="3F5B240E"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2683116B" w14:textId="62980FD6"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K2 un K4 kritērijā norādītajai pieredzei jābūt vienas un tās pašas personas pieredzei, vai K2 var izpildīt viens speciālists, bet K4 – cits?</w:t>
            </w:r>
          </w:p>
        </w:tc>
        <w:tc>
          <w:tcPr>
            <w:tcW w:w="6945" w:type="dxa"/>
          </w:tcPr>
          <w:p w14:paraId="0D3FF1AB" w14:textId="64780B90"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K2 un K4 kritērija izpilde nav obligāti jānodrošina vienai un tai pašai personai. K2 kritērijam var tikt norādīts viens Jurista lomai piedāvātais speciālists, bet K4 kritērijam – cits Jurista lomai piedāvātais speciālists, ja katrs no tiem atbilst Nolikuma prasībām.</w:t>
            </w:r>
          </w:p>
        </w:tc>
      </w:tr>
      <w:tr w:rsidR="00265993" w:rsidRPr="00F9590A" w14:paraId="499799E9" w14:textId="77777777" w:rsidTr="006137FA">
        <w:tblPrEx>
          <w:jc w:val="left"/>
        </w:tblPrEx>
        <w:trPr>
          <w:trHeight w:val="1094"/>
        </w:trPr>
        <w:tc>
          <w:tcPr>
            <w:tcW w:w="846" w:type="dxa"/>
          </w:tcPr>
          <w:p w14:paraId="0B371A2C"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5BF3BB23" w14:textId="4C6873CC"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Ja K2 un K4 kritērijā pieļaujama vairāku speciālistu pieredzes summēšana, kā tā norādāma Nolikuma 5. pielikumā un kā tiek aprēķināti punkti?</w:t>
            </w:r>
          </w:p>
        </w:tc>
        <w:tc>
          <w:tcPr>
            <w:tcW w:w="6945" w:type="dxa"/>
          </w:tcPr>
          <w:p w14:paraId="305F0D8D" w14:textId="68411735"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Vairāku speciālistu pieredzes summēšana viena kritērija ietvaros nav paredzēta. Pretendents Nolikuma 5. pielikumā attiecīgi K2 un K4 kritērijam norāda tā Jurista lomai piedāvātā speciālista pieredzi, kuru tas vēlas izmantot attiecīgā kritērija izpildei.</w:t>
            </w:r>
          </w:p>
        </w:tc>
      </w:tr>
      <w:tr w:rsidR="00265993" w:rsidRPr="00F9590A" w14:paraId="577FE963" w14:textId="77777777" w:rsidTr="006137FA">
        <w:tblPrEx>
          <w:jc w:val="left"/>
        </w:tblPrEx>
        <w:trPr>
          <w:trHeight w:val="1094"/>
        </w:trPr>
        <w:tc>
          <w:tcPr>
            <w:tcW w:w="846" w:type="dxa"/>
          </w:tcPr>
          <w:p w14:paraId="0664C21F" w14:textId="77777777" w:rsidR="00265993" w:rsidRPr="00265993" w:rsidRDefault="00265993" w:rsidP="00265993">
            <w:pPr>
              <w:pStyle w:val="ListParagraph"/>
              <w:numPr>
                <w:ilvl w:val="0"/>
                <w:numId w:val="6"/>
              </w:numPr>
              <w:jc w:val="both"/>
              <w:rPr>
                <w:rFonts w:ascii="Times New Roman" w:eastAsiaTheme="majorEastAsia" w:hAnsi="Times New Roman"/>
                <w:bCs/>
                <w:iCs/>
                <w:color w:val="000000" w:themeColor="text1"/>
                <w:szCs w:val="28"/>
              </w:rPr>
            </w:pPr>
          </w:p>
        </w:tc>
        <w:tc>
          <w:tcPr>
            <w:tcW w:w="6379" w:type="dxa"/>
          </w:tcPr>
          <w:p w14:paraId="6277C9BF" w14:textId="35DC040C" w:rsidR="00265993" w:rsidRPr="00265993" w:rsidRDefault="00265993" w:rsidP="00265993">
            <w:pPr>
              <w:ind w:left="34"/>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Vai Nolikums un tā 5. pielikums tiks precizēts, nepārprotami norādot, ka K2 un K4 kritērijā vērtējama viena konkrēta speciālista pieredze?</w:t>
            </w:r>
          </w:p>
        </w:tc>
        <w:tc>
          <w:tcPr>
            <w:tcW w:w="6945" w:type="dxa"/>
          </w:tcPr>
          <w:p w14:paraId="28837DDA" w14:textId="242865AB" w:rsidR="00265993" w:rsidRPr="00265993" w:rsidRDefault="00265993" w:rsidP="00265993">
            <w:pPr>
              <w:jc w:val="both"/>
              <w:rPr>
                <w:rFonts w:ascii="Times New Roman" w:eastAsiaTheme="majorEastAsia" w:hAnsi="Times New Roman"/>
                <w:bCs/>
                <w:iCs/>
                <w:color w:val="000000" w:themeColor="text1"/>
              </w:rPr>
            </w:pPr>
            <w:r w:rsidRPr="00265993">
              <w:rPr>
                <w:rFonts w:ascii="Times New Roman" w:eastAsiaTheme="majorEastAsia" w:hAnsi="Times New Roman"/>
                <w:bCs/>
                <w:iCs/>
                <w:color w:val="000000" w:themeColor="text1"/>
              </w:rPr>
              <w:t>Iepirkuma komisija nesaskata nepieciešamību veikt grozījumus Nolikumā vai tā 5. pielikumā. Ar šo skaidrojumu ir precizēta K2 un K4 kritērija piemērošanas kārtība.</w:t>
            </w:r>
          </w:p>
        </w:tc>
      </w:tr>
    </w:tbl>
    <w:p w14:paraId="7D5D9AEE" w14:textId="77777777" w:rsidR="00CD4BE3" w:rsidRPr="0098610A" w:rsidRDefault="00CD4BE3" w:rsidP="0098610A">
      <w:pPr>
        <w:spacing w:after="0" w:line="240" w:lineRule="auto"/>
        <w:rPr>
          <w:rFonts w:ascii="Times New Roman" w:hAnsi="Times New Roman" w:cs="Times New Roman"/>
        </w:rPr>
      </w:pPr>
    </w:p>
    <w:sectPr w:rsidR="00CD4BE3" w:rsidRPr="0098610A" w:rsidSect="00B6130D">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877A4"/>
    <w:multiLevelType w:val="hybridMultilevel"/>
    <w:tmpl w:val="BB3C5D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4F3079"/>
    <w:multiLevelType w:val="hybridMultilevel"/>
    <w:tmpl w:val="84542F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70B40E7"/>
    <w:multiLevelType w:val="multilevel"/>
    <w:tmpl w:val="FFFFFFFF"/>
    <w:lvl w:ilvl="0">
      <w:start w:val="1"/>
      <w:numFmt w:val="decimal"/>
      <w:lvlText w:val="%1."/>
      <w:lvlJc w:val="left"/>
      <w:pPr>
        <w:ind w:left="644" w:hanging="360"/>
      </w:pPr>
      <w:rPr>
        <w:rFonts w:ascii="Times New Roman" w:hAnsi="Times New Roman" w:cs="Times New Roman" w:hint="default"/>
      </w:rPr>
    </w:lvl>
    <w:lvl w:ilvl="1">
      <w:start w:val="10"/>
      <w:numFmt w:val="decimal"/>
      <w:isLgl/>
      <w:lvlText w:val="%1.%2."/>
      <w:lvlJc w:val="left"/>
      <w:pPr>
        <w:ind w:left="1790" w:hanging="720"/>
      </w:pPr>
      <w:rPr>
        <w:rFonts w:cs="Times New Roman" w:hint="default"/>
      </w:rPr>
    </w:lvl>
    <w:lvl w:ilvl="2">
      <w:start w:val="1"/>
      <w:numFmt w:val="decimal"/>
      <w:isLgl/>
      <w:lvlText w:val="%1.%2.%3."/>
      <w:lvlJc w:val="left"/>
      <w:pPr>
        <w:ind w:left="1790" w:hanging="720"/>
      </w:pPr>
      <w:rPr>
        <w:rFonts w:cs="Times New Roman" w:hint="default"/>
      </w:rPr>
    </w:lvl>
    <w:lvl w:ilvl="3">
      <w:start w:val="1"/>
      <w:numFmt w:val="decimal"/>
      <w:isLgl/>
      <w:lvlText w:val="%1.%2.%3.%4."/>
      <w:lvlJc w:val="left"/>
      <w:pPr>
        <w:ind w:left="1790" w:hanging="720"/>
      </w:pPr>
      <w:rPr>
        <w:rFonts w:cs="Times New Roman" w:hint="default"/>
      </w:rPr>
    </w:lvl>
    <w:lvl w:ilvl="4">
      <w:start w:val="1"/>
      <w:numFmt w:val="decimal"/>
      <w:isLgl/>
      <w:lvlText w:val="%1.%2.%3.%4.%5."/>
      <w:lvlJc w:val="left"/>
      <w:pPr>
        <w:ind w:left="2150" w:hanging="1080"/>
      </w:pPr>
      <w:rPr>
        <w:rFonts w:cs="Times New Roman" w:hint="default"/>
      </w:rPr>
    </w:lvl>
    <w:lvl w:ilvl="5">
      <w:start w:val="1"/>
      <w:numFmt w:val="decimal"/>
      <w:isLgl/>
      <w:lvlText w:val="%1.%2.%3.%4.%5.%6."/>
      <w:lvlJc w:val="left"/>
      <w:pPr>
        <w:ind w:left="2150" w:hanging="1080"/>
      </w:pPr>
      <w:rPr>
        <w:rFonts w:cs="Times New Roman" w:hint="default"/>
      </w:rPr>
    </w:lvl>
    <w:lvl w:ilvl="6">
      <w:start w:val="1"/>
      <w:numFmt w:val="decimal"/>
      <w:isLgl/>
      <w:lvlText w:val="%1.%2.%3.%4.%5.%6.%7."/>
      <w:lvlJc w:val="left"/>
      <w:pPr>
        <w:ind w:left="2510" w:hanging="1440"/>
      </w:pPr>
      <w:rPr>
        <w:rFonts w:cs="Times New Roman" w:hint="default"/>
      </w:rPr>
    </w:lvl>
    <w:lvl w:ilvl="7">
      <w:start w:val="1"/>
      <w:numFmt w:val="decimal"/>
      <w:isLgl/>
      <w:lvlText w:val="%1.%2.%3.%4.%5.%6.%7.%8."/>
      <w:lvlJc w:val="left"/>
      <w:pPr>
        <w:ind w:left="2510" w:hanging="1440"/>
      </w:pPr>
      <w:rPr>
        <w:rFonts w:cs="Times New Roman" w:hint="default"/>
      </w:rPr>
    </w:lvl>
    <w:lvl w:ilvl="8">
      <w:start w:val="1"/>
      <w:numFmt w:val="decimal"/>
      <w:isLgl/>
      <w:lvlText w:val="%1.%2.%3.%4.%5.%6.%7.%8.%9."/>
      <w:lvlJc w:val="left"/>
      <w:pPr>
        <w:ind w:left="2870" w:hanging="1800"/>
      </w:pPr>
      <w:rPr>
        <w:rFonts w:cs="Times New Roman" w:hint="default"/>
      </w:rPr>
    </w:lvl>
  </w:abstractNum>
  <w:abstractNum w:abstractNumId="3" w15:restartNumberingAfterBreak="0">
    <w:nsid w:val="609F77A3"/>
    <w:multiLevelType w:val="hybridMultilevel"/>
    <w:tmpl w:val="674C32F2"/>
    <w:lvl w:ilvl="0" w:tplc="8006E882">
      <w:start w:val="1"/>
      <w:numFmt w:val="decimal"/>
      <w:lvlText w:val="%1."/>
      <w:lvlJc w:val="left"/>
      <w:pPr>
        <w:ind w:left="720" w:hanging="360"/>
      </w:pPr>
      <w:rPr>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210208C"/>
    <w:multiLevelType w:val="hybridMultilevel"/>
    <w:tmpl w:val="E5962E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67015308">
    <w:abstractNumId w:val="2"/>
  </w:num>
  <w:num w:numId="2" w16cid:durableId="430710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3143837">
    <w:abstractNumId w:val="3"/>
  </w:num>
  <w:num w:numId="4" w16cid:durableId="1807579581">
    <w:abstractNumId w:val="1"/>
  </w:num>
  <w:num w:numId="5" w16cid:durableId="1961567717">
    <w:abstractNumId w:val="4"/>
  </w:num>
  <w:num w:numId="6" w16cid:durableId="479467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0A"/>
    <w:rsid w:val="00177F42"/>
    <w:rsid w:val="00265993"/>
    <w:rsid w:val="002944C0"/>
    <w:rsid w:val="00327EAF"/>
    <w:rsid w:val="003C0A06"/>
    <w:rsid w:val="004515A4"/>
    <w:rsid w:val="00462180"/>
    <w:rsid w:val="00587287"/>
    <w:rsid w:val="00600099"/>
    <w:rsid w:val="006137FA"/>
    <w:rsid w:val="00684DE1"/>
    <w:rsid w:val="007350D6"/>
    <w:rsid w:val="007D08CC"/>
    <w:rsid w:val="0090663E"/>
    <w:rsid w:val="0098610A"/>
    <w:rsid w:val="009B03BF"/>
    <w:rsid w:val="009C6D41"/>
    <w:rsid w:val="009D1B08"/>
    <w:rsid w:val="00B6130D"/>
    <w:rsid w:val="00C1759D"/>
    <w:rsid w:val="00C76589"/>
    <w:rsid w:val="00CD4BE3"/>
    <w:rsid w:val="00DA667A"/>
    <w:rsid w:val="00DB5B42"/>
    <w:rsid w:val="00DB7172"/>
    <w:rsid w:val="00DE28C1"/>
    <w:rsid w:val="00EA4D5A"/>
    <w:rsid w:val="00EF13A7"/>
    <w:rsid w:val="00F9590A"/>
    <w:rsid w:val="00FC16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AE28D"/>
  <w15:chartTrackingRefBased/>
  <w15:docId w15:val="{46C127D1-359A-4935-85D4-5674E9048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10A"/>
    <w:rPr>
      <w:rFonts w:eastAsiaTheme="majorEastAsia" w:cstheme="majorBidi"/>
      <w:color w:val="272727" w:themeColor="text1" w:themeTint="D8"/>
    </w:rPr>
  </w:style>
  <w:style w:type="paragraph" w:styleId="Title">
    <w:name w:val="Title"/>
    <w:basedOn w:val="Normal"/>
    <w:next w:val="Normal"/>
    <w:link w:val="TitleChar"/>
    <w:uiPriority w:val="10"/>
    <w:qFormat/>
    <w:rsid w:val="00986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10A"/>
    <w:pPr>
      <w:spacing w:before="160"/>
      <w:jc w:val="center"/>
    </w:pPr>
    <w:rPr>
      <w:i/>
      <w:iCs/>
      <w:color w:val="404040" w:themeColor="text1" w:themeTint="BF"/>
    </w:rPr>
  </w:style>
  <w:style w:type="character" w:customStyle="1" w:styleId="QuoteChar">
    <w:name w:val="Quote Char"/>
    <w:basedOn w:val="DefaultParagraphFont"/>
    <w:link w:val="Quote"/>
    <w:uiPriority w:val="29"/>
    <w:rsid w:val="0098610A"/>
    <w:rPr>
      <w:i/>
      <w:iCs/>
      <w:color w:val="404040" w:themeColor="text1" w:themeTint="BF"/>
    </w:rPr>
  </w:style>
  <w:style w:type="paragraph" w:styleId="ListParagraph">
    <w:name w:val="List Paragraph"/>
    <w:basedOn w:val="Normal"/>
    <w:uiPriority w:val="34"/>
    <w:qFormat/>
    <w:rsid w:val="0098610A"/>
    <w:pPr>
      <w:ind w:left="720"/>
      <w:contextualSpacing/>
    </w:pPr>
  </w:style>
  <w:style w:type="character" w:styleId="IntenseEmphasis">
    <w:name w:val="Intense Emphasis"/>
    <w:basedOn w:val="DefaultParagraphFont"/>
    <w:uiPriority w:val="21"/>
    <w:qFormat/>
    <w:rsid w:val="0098610A"/>
    <w:rPr>
      <w:i/>
      <w:iCs/>
      <w:color w:val="0F4761" w:themeColor="accent1" w:themeShade="BF"/>
    </w:rPr>
  </w:style>
  <w:style w:type="paragraph" w:styleId="IntenseQuote">
    <w:name w:val="Intense Quote"/>
    <w:basedOn w:val="Normal"/>
    <w:next w:val="Normal"/>
    <w:link w:val="IntenseQuoteChar"/>
    <w:uiPriority w:val="30"/>
    <w:qFormat/>
    <w:rsid w:val="00986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10A"/>
    <w:rPr>
      <w:i/>
      <w:iCs/>
      <w:color w:val="0F4761" w:themeColor="accent1" w:themeShade="BF"/>
    </w:rPr>
  </w:style>
  <w:style w:type="character" w:styleId="IntenseReference">
    <w:name w:val="Intense Reference"/>
    <w:basedOn w:val="DefaultParagraphFont"/>
    <w:uiPriority w:val="32"/>
    <w:qFormat/>
    <w:rsid w:val="0098610A"/>
    <w:rPr>
      <w:b/>
      <w:bCs/>
      <w:smallCaps/>
      <w:color w:val="0F4761" w:themeColor="accent1" w:themeShade="BF"/>
      <w:spacing w:val="5"/>
    </w:rPr>
  </w:style>
  <w:style w:type="table" w:customStyle="1" w:styleId="TableGrid4">
    <w:name w:val="Table Grid4"/>
    <w:basedOn w:val="TableNormal"/>
    <w:next w:val="TableGrid"/>
    <w:uiPriority w:val="39"/>
    <w:rsid w:val="0098610A"/>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86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77F42"/>
    <w:pPr>
      <w:spacing w:after="0" w:line="240" w:lineRule="auto"/>
    </w:pPr>
    <w:rPr>
      <w:rFonts w:ascii="Verdana" w:hAnsi="Verdana"/>
      <w:kern w:val="0"/>
      <w:sz w:val="18"/>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82458-0847-4604-BAD3-1D6FD7F1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6460</Words>
  <Characters>3683</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Grinfelde</dc:creator>
  <cp:keywords/>
  <dc:description/>
  <cp:lastModifiedBy>Līva Grinfelde</cp:lastModifiedBy>
  <cp:revision>17</cp:revision>
  <dcterms:created xsi:type="dcterms:W3CDTF">2026-07-13T13:14:00Z</dcterms:created>
  <dcterms:modified xsi:type="dcterms:W3CDTF">2026-08-11T14:01:00Z</dcterms:modified>
</cp:coreProperties>
</file>