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EA8BBE" w14:textId="77777777" w:rsidR="008E3966" w:rsidRPr="001A003B" w:rsidRDefault="008E3966" w:rsidP="008E3966">
      <w:pPr>
        <w:jc w:val="right"/>
        <w:rPr>
          <w:rFonts w:ascii="Times New Roman" w:eastAsia="Times New Roman" w:hAnsi="Times New Roman" w:cs="Times New Roman"/>
        </w:rPr>
      </w:pPr>
      <w:r w:rsidRPr="001A003B">
        <w:rPr>
          <w:rFonts w:ascii="Times New Roman" w:eastAsia="Times New Roman" w:hAnsi="Times New Roman" w:cs="Times New Roman"/>
        </w:rPr>
        <w:t>Latvijas Republikas Labklājības ministrija</w:t>
      </w:r>
    </w:p>
    <w:p w14:paraId="77FFBD41" w14:textId="77777777" w:rsidR="008E3966" w:rsidRPr="001A003B" w:rsidRDefault="008E3966" w:rsidP="008E3966">
      <w:pPr>
        <w:jc w:val="right"/>
        <w:rPr>
          <w:rFonts w:ascii="Times New Roman" w:eastAsia="Times New Roman" w:hAnsi="Times New Roman" w:cs="Times New Roman"/>
        </w:rPr>
      </w:pPr>
      <w:r w:rsidRPr="001A003B">
        <w:rPr>
          <w:rFonts w:ascii="Times New Roman" w:eastAsia="Times New Roman" w:hAnsi="Times New Roman" w:cs="Times New Roman"/>
        </w:rPr>
        <w:t>Reģistrācijas Nr. 90000022064</w:t>
      </w:r>
    </w:p>
    <w:p w14:paraId="290C6086" w14:textId="77777777" w:rsidR="008E3966" w:rsidRPr="001A003B" w:rsidRDefault="008E3966" w:rsidP="008E3966">
      <w:pPr>
        <w:rPr>
          <w:rFonts w:ascii="Times New Roman" w:eastAsia="Calibri" w:hAnsi="Times New Roman" w:cs="Times New Roman"/>
        </w:rPr>
      </w:pPr>
    </w:p>
    <w:p w14:paraId="5ADFBC89" w14:textId="77777777" w:rsidR="008E3966" w:rsidRPr="001A003B" w:rsidRDefault="008E3966" w:rsidP="008E3966">
      <w:pPr>
        <w:rPr>
          <w:rFonts w:ascii="Times New Roman" w:eastAsia="Calibri" w:hAnsi="Times New Roman" w:cs="Times New Roman"/>
        </w:rPr>
      </w:pPr>
    </w:p>
    <w:p w14:paraId="5450B507" w14:textId="77777777" w:rsidR="008E3966" w:rsidRPr="001A003B" w:rsidRDefault="008E3966" w:rsidP="008E3966">
      <w:pPr>
        <w:jc w:val="center"/>
        <w:rPr>
          <w:rFonts w:ascii="Times New Roman" w:eastAsia="Calibri" w:hAnsi="Times New Roman" w:cs="Times New Roman"/>
        </w:rPr>
      </w:pPr>
      <w:r w:rsidRPr="001A003B">
        <w:rPr>
          <w:rFonts w:ascii="Times New Roman" w:eastAsia="Calibri" w:hAnsi="Times New Roman" w:cs="Times New Roman"/>
        </w:rPr>
        <w:t>Iepirkums</w:t>
      </w:r>
    </w:p>
    <w:p w14:paraId="5364C386" w14:textId="56E20760" w:rsidR="008E3966" w:rsidRPr="001A003B" w:rsidRDefault="002271A2" w:rsidP="008E3966">
      <w:pPr>
        <w:jc w:val="center"/>
        <w:rPr>
          <w:rFonts w:ascii="Times New Roman" w:hAnsi="Times New Roman" w:cs="Times New Roman"/>
          <w:b/>
          <w:iCs/>
        </w:rPr>
      </w:pPr>
      <w:r>
        <w:rPr>
          <w:rFonts w:ascii="Times New Roman" w:hAnsi="Times New Roman" w:cs="Times New Roman"/>
          <w:b/>
          <w:iCs/>
        </w:rPr>
        <w:t>“</w:t>
      </w:r>
      <w:r w:rsidR="008E3966" w:rsidRPr="001A003B">
        <w:rPr>
          <w:rFonts w:ascii="Times New Roman" w:hAnsi="Times New Roman" w:cs="Times New Roman"/>
          <w:b/>
          <w:iCs/>
        </w:rPr>
        <w:t>Sabiedrības izglītošana par sociālo darbu, sociālā darba speciālistu ieguldījumu un sociālā darba profesijas izvēli”</w:t>
      </w:r>
    </w:p>
    <w:p w14:paraId="338AFBFB" w14:textId="77777777" w:rsidR="008E3966" w:rsidRPr="001A003B" w:rsidRDefault="008E3966" w:rsidP="008E3966">
      <w:pPr>
        <w:jc w:val="center"/>
        <w:rPr>
          <w:rFonts w:ascii="Times New Roman" w:hAnsi="Times New Roman" w:cs="Times New Roman"/>
        </w:rPr>
      </w:pPr>
      <w:bookmarkStart w:id="0" w:name="_Hlk153492764"/>
      <w:r w:rsidRPr="001A003B">
        <w:rPr>
          <w:rFonts w:ascii="Times New Roman" w:hAnsi="Times New Roman" w:cs="Times New Roman"/>
          <w:b/>
        </w:rPr>
        <w:t>Identifikācijas Nr.</w:t>
      </w:r>
      <w:r w:rsidRPr="001A003B">
        <w:rPr>
          <w:rFonts w:ascii="Times New Roman" w:hAnsi="Times New Roman" w:cs="Times New Roman"/>
          <w:bCs/>
          <w:lang w:eastAsia="lv-LV"/>
        </w:rPr>
        <w:t xml:space="preserve"> </w:t>
      </w:r>
      <w:r w:rsidRPr="001A003B">
        <w:rPr>
          <w:rFonts w:ascii="Times New Roman" w:hAnsi="Times New Roman" w:cs="Times New Roman"/>
          <w:b/>
          <w:bCs/>
          <w:lang w:eastAsia="lv-LV"/>
        </w:rPr>
        <w:t>LRLM 2026/31ESF+</w:t>
      </w:r>
    </w:p>
    <w:bookmarkEnd w:id="0"/>
    <w:p w14:paraId="683DD8A5" w14:textId="05F9BA21" w:rsidR="00DA488E" w:rsidRDefault="00DA488E">
      <w:pPr>
        <w:rPr>
          <w:rFonts w:ascii="Times New Roman" w:hAnsi="Times New Roman" w:cs="Times New Roman"/>
          <w:color w:val="156082" w:themeColor="accent1"/>
          <w:u w:val="single"/>
        </w:rPr>
      </w:pPr>
      <w:r w:rsidRPr="001A003B">
        <w:rPr>
          <w:rFonts w:ascii="Times New Roman" w:hAnsi="Times New Roman" w:cs="Times New Roman"/>
          <w:color w:val="156082" w:themeColor="accent1"/>
          <w:u w:val="single"/>
        </w:rPr>
        <w:t>Jautājum</w:t>
      </w:r>
      <w:r w:rsidR="007F73DF" w:rsidRPr="001A003B">
        <w:rPr>
          <w:rFonts w:ascii="Times New Roman" w:hAnsi="Times New Roman" w:cs="Times New Roman"/>
          <w:color w:val="156082" w:themeColor="accent1"/>
          <w:u w:val="single"/>
        </w:rPr>
        <w:t>s:</w:t>
      </w:r>
    </w:p>
    <w:p w14:paraId="3655955E" w14:textId="77777777" w:rsidR="00AB3E6B" w:rsidRPr="00AB3E6B" w:rsidRDefault="00AB3E6B" w:rsidP="00AB3E6B">
      <w:pPr>
        <w:rPr>
          <w:rFonts w:ascii="Times New Roman" w:hAnsi="Times New Roman" w:cs="Times New Roman"/>
          <w:color w:val="156082" w:themeColor="accent1"/>
          <w:u w:val="single"/>
        </w:rPr>
      </w:pPr>
      <w:r w:rsidRPr="00AB3E6B">
        <w:rPr>
          <w:rFonts w:ascii="Times New Roman" w:hAnsi="Times New Roman" w:cs="Times New Roman"/>
          <w:color w:val="156082" w:themeColor="accent1"/>
          <w:u w:val="single"/>
        </w:rPr>
        <w:t>Tehniskās specifikācijas 7.1.1. punktā noteikts sasniedzamais rezultāts – vismaz 200 000 interneta lietotāju Kampaņas mājaslapā, katram pavadot tajā vismaz 1 minūti. Mūsu ieskatā šāda prasība Latvijas tirgus mērogam un konkrētās kampaņas komunikācijas uzdevumam nav samērīga un būtu pārskatāma.</w:t>
      </w:r>
    </w:p>
    <w:p w14:paraId="0C5010B1" w14:textId="77777777" w:rsidR="00AB3E6B" w:rsidRPr="00AB3E6B" w:rsidRDefault="00AB3E6B" w:rsidP="00AB3E6B">
      <w:pPr>
        <w:rPr>
          <w:rFonts w:ascii="Times New Roman" w:hAnsi="Times New Roman" w:cs="Times New Roman"/>
          <w:color w:val="156082" w:themeColor="accent1"/>
          <w:u w:val="single"/>
        </w:rPr>
      </w:pPr>
      <w:r w:rsidRPr="00AB3E6B">
        <w:rPr>
          <w:rFonts w:ascii="Times New Roman" w:hAnsi="Times New Roman" w:cs="Times New Roman"/>
          <w:color w:val="156082" w:themeColor="accent1"/>
          <w:u w:val="single"/>
        </w:rPr>
        <w:t>1. Prasība faktiski paredz ārkārtīgi augstu kvalificētās datplūsmas apjomu Latvijas tirgus mērogā.</w:t>
      </w:r>
    </w:p>
    <w:p w14:paraId="769D0C19" w14:textId="77777777" w:rsidR="00AB3E6B" w:rsidRPr="00AB3E6B" w:rsidRDefault="00AB3E6B" w:rsidP="00AB3E6B">
      <w:pPr>
        <w:rPr>
          <w:rFonts w:ascii="Times New Roman" w:hAnsi="Times New Roman" w:cs="Times New Roman"/>
          <w:color w:val="156082" w:themeColor="accent1"/>
          <w:u w:val="single"/>
        </w:rPr>
      </w:pPr>
      <w:r w:rsidRPr="00AB3E6B">
        <w:rPr>
          <w:rFonts w:ascii="Times New Roman" w:hAnsi="Times New Roman" w:cs="Times New Roman"/>
          <w:color w:val="156082" w:themeColor="accent1"/>
          <w:u w:val="single"/>
        </w:rPr>
        <w:t>Latvijā 2025. gada nogalē bija aptuveni 1,74 miljoni interneta lietotāju, kas veidoja 93,9 % iedzīvotāju. Tādējādi 200 000 lietotāju atbilst aptuveni 11,5 % no visas Latvijas interneta lietotāju populācijas.</w:t>
      </w:r>
    </w:p>
    <w:p w14:paraId="01E604F6" w14:textId="77777777" w:rsidR="00AB3E6B" w:rsidRPr="00AB3E6B" w:rsidRDefault="00AB3E6B" w:rsidP="00AB3E6B">
      <w:pPr>
        <w:rPr>
          <w:rFonts w:ascii="Times New Roman" w:hAnsi="Times New Roman" w:cs="Times New Roman"/>
          <w:color w:val="156082" w:themeColor="accent1"/>
          <w:u w:val="single"/>
        </w:rPr>
      </w:pPr>
      <w:r w:rsidRPr="00AB3E6B">
        <w:rPr>
          <w:rFonts w:ascii="Times New Roman" w:hAnsi="Times New Roman" w:cs="Times New Roman"/>
          <w:color w:val="156082" w:themeColor="accent1"/>
          <w:u w:val="single"/>
        </w:rPr>
        <w:t>Turklāt 7.1.1. punkts neprasa tikai sasniegt 200 000 cilvēku ar reklāmu vai kampaņas saturu. Lai lietotājs tiktu ieskaitīts rezultātā, viņam ir jānonāk Kampaņas mājaslapā un tajā jāpavada vismaz viena minūte. Tas ir būtiski augstāks slieksnis nekā reklāmas sasniedzamība, impresija, video skatījums vai pat vienkāršs mājaslapas apmeklējums.</w:t>
      </w:r>
    </w:p>
    <w:p w14:paraId="7058F7CE" w14:textId="77777777" w:rsidR="00AB3E6B" w:rsidRPr="00AB3E6B" w:rsidRDefault="00AB3E6B" w:rsidP="00AB3E6B">
      <w:pPr>
        <w:rPr>
          <w:rFonts w:ascii="Times New Roman" w:hAnsi="Times New Roman" w:cs="Times New Roman"/>
          <w:color w:val="156082" w:themeColor="accent1"/>
          <w:u w:val="single"/>
        </w:rPr>
      </w:pPr>
      <w:r w:rsidRPr="00AB3E6B">
        <w:rPr>
          <w:rFonts w:ascii="Times New Roman" w:hAnsi="Times New Roman" w:cs="Times New Roman"/>
          <w:color w:val="156082" w:themeColor="accent1"/>
          <w:u w:val="single"/>
        </w:rPr>
        <w:t>Līdz ar to prasība pēc 200 000 šādi kvalificētiem lietotājiem nozīmē panākt aktīvu un salīdzinoši ilgstošu mijiedarbību ar kampaņas mājaslapu no vairāk nekā katra desmitā Latvijas interneta lietotāja. Specializētai sabiedrības informēšanas kampaņai par sociālo darbu tas ir nesamērīgi augsts rezultāts.</w:t>
      </w:r>
    </w:p>
    <w:p w14:paraId="20277AA6" w14:textId="77777777" w:rsidR="00AB3E6B" w:rsidRPr="00AB3E6B" w:rsidRDefault="00AB3E6B" w:rsidP="00AB3E6B">
      <w:pPr>
        <w:rPr>
          <w:rFonts w:ascii="Times New Roman" w:hAnsi="Times New Roman" w:cs="Times New Roman"/>
          <w:color w:val="156082" w:themeColor="accent1"/>
          <w:u w:val="single"/>
        </w:rPr>
      </w:pPr>
      <w:r w:rsidRPr="00AB3E6B">
        <w:rPr>
          <w:rFonts w:ascii="Times New Roman" w:hAnsi="Times New Roman" w:cs="Times New Roman"/>
          <w:color w:val="156082" w:themeColor="accent1"/>
          <w:u w:val="single"/>
        </w:rPr>
        <w:t>2. Prasība neatbilst pašā Tehniskajā specifikācijā paredzētajai daudzkanālu komunikācijas loģikai.</w:t>
      </w:r>
    </w:p>
    <w:p w14:paraId="2598F092" w14:textId="77777777" w:rsidR="00AB3E6B" w:rsidRPr="00AB3E6B" w:rsidRDefault="00AB3E6B" w:rsidP="00AB3E6B">
      <w:pPr>
        <w:rPr>
          <w:rFonts w:ascii="Times New Roman" w:hAnsi="Times New Roman" w:cs="Times New Roman"/>
          <w:color w:val="156082" w:themeColor="accent1"/>
          <w:u w:val="single"/>
        </w:rPr>
      </w:pPr>
      <w:r w:rsidRPr="00AB3E6B">
        <w:rPr>
          <w:rFonts w:ascii="Times New Roman" w:hAnsi="Times New Roman" w:cs="Times New Roman"/>
          <w:color w:val="156082" w:themeColor="accent1"/>
          <w:u w:val="single"/>
        </w:rPr>
        <w:t>Tehniskā specifikācija paredz Kampaņu īstenot, apvienojot informatīvos, digitālos, sabiedrisko attiecību un citus iesaistes komunikācijas kanālus, lai sasniegtu dažādas mērķauditorijas. Vienlaikus paredzēta komunikācija sociālajos tīklos, TV, radio, drukātajā presē, ziņu portālos, podkāstos, ar viedokļu līderiem, NVO, reģionālajiem medijiem un klātienes pasākumos.</w:t>
      </w:r>
    </w:p>
    <w:p w14:paraId="7751E8B4" w14:textId="77777777" w:rsidR="00AB3E6B" w:rsidRPr="00AB3E6B" w:rsidRDefault="00AB3E6B" w:rsidP="00AB3E6B">
      <w:pPr>
        <w:rPr>
          <w:rFonts w:ascii="Times New Roman" w:hAnsi="Times New Roman" w:cs="Times New Roman"/>
          <w:color w:val="156082" w:themeColor="accent1"/>
          <w:u w:val="single"/>
        </w:rPr>
      </w:pPr>
      <w:r w:rsidRPr="00AB3E6B">
        <w:rPr>
          <w:rFonts w:ascii="Times New Roman" w:hAnsi="Times New Roman" w:cs="Times New Roman"/>
          <w:color w:val="156082" w:themeColor="accent1"/>
          <w:u w:val="single"/>
        </w:rPr>
        <w:t xml:space="preserve">Tāpēc nav metodoloģiski pamatoti vienu no kanāliem – Kampaņas mājaslapu – padarīt par faktiski dominējošo kvantitatīvo KPI. Cilvēks var pilnvērtīgi saņemt kampaņas vēstījumu </w:t>
      </w:r>
      <w:r w:rsidRPr="00AB3E6B">
        <w:rPr>
          <w:rFonts w:ascii="Times New Roman" w:hAnsi="Times New Roman" w:cs="Times New Roman"/>
          <w:color w:val="156082" w:themeColor="accent1"/>
          <w:u w:val="single"/>
        </w:rPr>
        <w:lastRenderedPageBreak/>
        <w:t>televīzijā, sociālajā tīklā, podkāstā, ziņu portālā vai klātienes pasākumā, nemaz neapmeklējot Kampaņas mājaslapu.</w:t>
      </w:r>
    </w:p>
    <w:p w14:paraId="1C592F2A" w14:textId="77777777" w:rsidR="00AB3E6B" w:rsidRPr="00AB3E6B" w:rsidRDefault="00AB3E6B" w:rsidP="00AB3E6B">
      <w:pPr>
        <w:rPr>
          <w:rFonts w:ascii="Times New Roman" w:hAnsi="Times New Roman" w:cs="Times New Roman"/>
          <w:color w:val="156082" w:themeColor="accent1"/>
          <w:u w:val="single"/>
        </w:rPr>
      </w:pPr>
      <w:r w:rsidRPr="00AB3E6B">
        <w:rPr>
          <w:rFonts w:ascii="Times New Roman" w:hAnsi="Times New Roman" w:cs="Times New Roman"/>
          <w:color w:val="156082" w:themeColor="accent1"/>
          <w:u w:val="single"/>
        </w:rPr>
        <w:t>Turklāt 7.1.2. punktā jau atsevišķi noteikta prasība sasniegt vismaz 200 000 cilvēku ar izglītojošu saturu digitālajos un tradicionālajos medijos. Tādēļ identiska absolūtā auditorijas apjoma noteikšana mājaslapai, turklāt papildus prasot vismaz vienas minūtes sesiju, pēc būtības izvirza mājaslapai ievērojami augstāku iesaistes prasību nekā visam pārējam mediju kanālu kopumam.</w:t>
      </w:r>
    </w:p>
    <w:p w14:paraId="247315C8" w14:textId="77777777" w:rsidR="00AB3E6B" w:rsidRPr="00AB3E6B" w:rsidRDefault="00AB3E6B" w:rsidP="00AB3E6B">
      <w:pPr>
        <w:rPr>
          <w:rFonts w:ascii="Times New Roman" w:hAnsi="Times New Roman" w:cs="Times New Roman"/>
          <w:color w:val="156082" w:themeColor="accent1"/>
          <w:u w:val="single"/>
        </w:rPr>
      </w:pPr>
      <w:r w:rsidRPr="00AB3E6B">
        <w:rPr>
          <w:rFonts w:ascii="Times New Roman" w:hAnsi="Times New Roman" w:cs="Times New Roman"/>
          <w:color w:val="156082" w:themeColor="accent1"/>
          <w:u w:val="single"/>
        </w:rPr>
        <w:t>3. 200 000 mājaslapas lietotāju nav salīdzināmi ar 200 000 sasniegtās auditorijas reklāmā vai medijos.</w:t>
      </w:r>
    </w:p>
    <w:p w14:paraId="6E1763FC" w14:textId="77777777" w:rsidR="00AB3E6B" w:rsidRPr="00AB3E6B" w:rsidRDefault="00AB3E6B" w:rsidP="00AB3E6B">
      <w:pPr>
        <w:rPr>
          <w:rFonts w:ascii="Times New Roman" w:hAnsi="Times New Roman" w:cs="Times New Roman"/>
          <w:color w:val="156082" w:themeColor="accent1"/>
          <w:u w:val="single"/>
        </w:rPr>
      </w:pPr>
      <w:r w:rsidRPr="00AB3E6B">
        <w:rPr>
          <w:rFonts w:ascii="Times New Roman" w:hAnsi="Times New Roman" w:cs="Times New Roman"/>
          <w:color w:val="156082" w:themeColor="accent1"/>
          <w:u w:val="single"/>
        </w:rPr>
        <w:t>Digitālās komunikācijas piltuvē pastāv būtiska atšķirība starp:</w:t>
      </w:r>
    </w:p>
    <w:p w14:paraId="12639B95" w14:textId="77777777" w:rsidR="00AB3E6B" w:rsidRPr="00AB3E6B" w:rsidRDefault="00AB3E6B" w:rsidP="00AB3E6B">
      <w:pPr>
        <w:rPr>
          <w:rFonts w:ascii="Times New Roman" w:hAnsi="Times New Roman" w:cs="Times New Roman"/>
          <w:color w:val="156082" w:themeColor="accent1"/>
          <w:u w:val="single"/>
        </w:rPr>
      </w:pPr>
      <w:r w:rsidRPr="00AB3E6B">
        <w:rPr>
          <w:rFonts w:ascii="Times New Roman" w:hAnsi="Times New Roman" w:cs="Times New Roman"/>
          <w:color w:val="156082" w:themeColor="accent1"/>
          <w:u w:val="single"/>
        </w:rPr>
        <w:t>sasniegto auditoriju → interesi/iesaisti → klikšķi → mājaslapas apmeklējumu → kvalificētu apmeklējumu 60+ sekundes.</w:t>
      </w:r>
    </w:p>
    <w:p w14:paraId="12545F4D" w14:textId="77777777" w:rsidR="00AB3E6B" w:rsidRPr="00AB3E6B" w:rsidRDefault="00AB3E6B" w:rsidP="00AB3E6B">
      <w:pPr>
        <w:rPr>
          <w:rFonts w:ascii="Times New Roman" w:hAnsi="Times New Roman" w:cs="Times New Roman"/>
          <w:color w:val="156082" w:themeColor="accent1"/>
          <w:u w:val="single"/>
        </w:rPr>
      </w:pPr>
      <w:r w:rsidRPr="00AB3E6B">
        <w:rPr>
          <w:rFonts w:ascii="Times New Roman" w:hAnsi="Times New Roman" w:cs="Times New Roman"/>
          <w:color w:val="156082" w:themeColor="accent1"/>
          <w:u w:val="single"/>
        </w:rPr>
        <w:t>Katrā no šiem posmiem auditorijas apjoms objektīvi samazinās. Tādēļ, lai iegūtu 200 000 unikālu lietotāju, kuri ne tikai noklikšķina uz saites, bet arī mājaslapā pavada vismaz 60 sekundes, sākotnēji nepieciešamajai reklāmas un mediju sasniedzamībai būtu jābūt vairākkārt lielākai.</w:t>
      </w:r>
    </w:p>
    <w:p w14:paraId="49D8BAFA" w14:textId="77777777" w:rsidR="00AB3E6B" w:rsidRPr="00AB3E6B" w:rsidRDefault="00AB3E6B" w:rsidP="00AB3E6B">
      <w:pPr>
        <w:rPr>
          <w:rFonts w:ascii="Times New Roman" w:hAnsi="Times New Roman" w:cs="Times New Roman"/>
          <w:color w:val="156082" w:themeColor="accent1"/>
          <w:u w:val="single"/>
        </w:rPr>
      </w:pPr>
      <w:r w:rsidRPr="00AB3E6B">
        <w:rPr>
          <w:rFonts w:ascii="Times New Roman" w:hAnsi="Times New Roman" w:cs="Times New Roman"/>
          <w:color w:val="156082" w:themeColor="accent1"/>
          <w:u w:val="single"/>
        </w:rPr>
        <w:t>Latvijas ierobežotā tirgus apstākļos tas var radīt situāciju, kurā būtiska kampaņas budžeta daļa jānovirza nevis kvalitatīvam saturam, mērķauditoriju iesaistei un kampaņas mērķu sasniegšanai, bet gan maksas datplūsmas ģenerēšanai uz mājaslapu tikai konkrētā tehniskā KPI izpildei.</w:t>
      </w:r>
    </w:p>
    <w:p w14:paraId="1A89F6E5" w14:textId="77777777" w:rsidR="00AB3E6B" w:rsidRPr="00AB3E6B" w:rsidRDefault="00AB3E6B" w:rsidP="00AB3E6B">
      <w:pPr>
        <w:rPr>
          <w:rFonts w:ascii="Times New Roman" w:hAnsi="Times New Roman" w:cs="Times New Roman"/>
          <w:color w:val="156082" w:themeColor="accent1"/>
          <w:u w:val="single"/>
        </w:rPr>
      </w:pPr>
      <w:r w:rsidRPr="00AB3E6B">
        <w:rPr>
          <w:rFonts w:ascii="Times New Roman" w:hAnsi="Times New Roman" w:cs="Times New Roman"/>
          <w:color w:val="156082" w:themeColor="accent1"/>
          <w:u w:val="single"/>
        </w:rPr>
        <w:t>4. Vienas minūtes kritērijs rada papildu metodoloģisku problēmu.</w:t>
      </w:r>
    </w:p>
    <w:p w14:paraId="39D15C26" w14:textId="77777777" w:rsidR="00AB3E6B" w:rsidRPr="00AB3E6B" w:rsidRDefault="00AB3E6B" w:rsidP="00AB3E6B">
      <w:pPr>
        <w:rPr>
          <w:rFonts w:ascii="Times New Roman" w:hAnsi="Times New Roman" w:cs="Times New Roman"/>
          <w:color w:val="156082" w:themeColor="accent1"/>
          <w:u w:val="single"/>
        </w:rPr>
      </w:pPr>
      <w:r w:rsidRPr="00AB3E6B">
        <w:rPr>
          <w:rFonts w:ascii="Times New Roman" w:hAnsi="Times New Roman" w:cs="Times New Roman"/>
          <w:color w:val="156082" w:themeColor="accent1"/>
          <w:u w:val="single"/>
        </w:rPr>
        <w:t>Tehniskā specifikācija paredz mājaslapā izvietot ļoti dažāda veida saturu – informatīvo ceļvedi, video stāstus un citus multimediju materiālus. Tāpat paredzēts ar analītikas sistēmu sekot atsevišķu pogu un satura sadaļu klikšķiem, lai identificētu apmeklētāju intereses.</w:t>
      </w:r>
    </w:p>
    <w:p w14:paraId="2FC8F70C" w14:textId="77777777" w:rsidR="00AB3E6B" w:rsidRPr="00AB3E6B" w:rsidRDefault="00AB3E6B" w:rsidP="00AB3E6B">
      <w:pPr>
        <w:rPr>
          <w:rFonts w:ascii="Times New Roman" w:hAnsi="Times New Roman" w:cs="Times New Roman"/>
          <w:color w:val="156082" w:themeColor="accent1"/>
          <w:u w:val="single"/>
        </w:rPr>
      </w:pPr>
      <w:r w:rsidRPr="00AB3E6B">
        <w:rPr>
          <w:rFonts w:ascii="Times New Roman" w:hAnsi="Times New Roman" w:cs="Times New Roman"/>
          <w:color w:val="156082" w:themeColor="accent1"/>
          <w:u w:val="single"/>
        </w:rPr>
        <w:t>Tas nozīmē, ka pati specifikācija paredz dažādus lietotāju uzvedības scenārijus. Lietotājs var, piemēram, 30–40 sekundēs atrast sev nepieciešamo informāciju, atvērt ceļvedi, noskatīties vai turpināt skatīties video citā platformā vai pāriet uz citu resursu. Šāds apmeklējums no komunikācijas viedokļa var būt pilnībā veiksmīgs, bet 7.1.1. punkta KPI izpratnē tas netiktu ieskaitīts.</w:t>
      </w:r>
    </w:p>
    <w:p w14:paraId="4BBA47A6" w14:textId="77777777" w:rsidR="00AB3E6B" w:rsidRPr="00AB3E6B" w:rsidRDefault="00AB3E6B" w:rsidP="00AB3E6B">
      <w:pPr>
        <w:rPr>
          <w:rFonts w:ascii="Times New Roman" w:hAnsi="Times New Roman" w:cs="Times New Roman"/>
          <w:color w:val="156082" w:themeColor="accent1"/>
          <w:u w:val="single"/>
        </w:rPr>
      </w:pPr>
      <w:r w:rsidRPr="00AB3E6B">
        <w:rPr>
          <w:rFonts w:ascii="Times New Roman" w:hAnsi="Times New Roman" w:cs="Times New Roman"/>
          <w:color w:val="156082" w:themeColor="accent1"/>
          <w:u w:val="single"/>
        </w:rPr>
        <w:t>Tādējādi 60 sekunžu slieksnis pats par sevi nav pietiekams kritērijs komunikācijas kvalitātes vai ietekmes novērtēšanai.</w:t>
      </w:r>
    </w:p>
    <w:p w14:paraId="445B7F4D" w14:textId="77777777" w:rsidR="00AB3E6B" w:rsidRPr="00AB3E6B" w:rsidRDefault="00AB3E6B" w:rsidP="00AB3E6B">
      <w:pPr>
        <w:rPr>
          <w:rFonts w:ascii="Times New Roman" w:hAnsi="Times New Roman" w:cs="Times New Roman"/>
          <w:color w:val="156082" w:themeColor="accent1"/>
          <w:u w:val="single"/>
        </w:rPr>
      </w:pPr>
      <w:r w:rsidRPr="00AB3E6B">
        <w:rPr>
          <w:rFonts w:ascii="Times New Roman" w:hAnsi="Times New Roman" w:cs="Times New Roman"/>
          <w:color w:val="156082" w:themeColor="accent1"/>
          <w:u w:val="single"/>
        </w:rPr>
        <w:t>5. Prasība rada risku, ka kampaņas optimizācija tiks pakārtota nevis tās mērķim, bet tehniskam rādītājam.</w:t>
      </w:r>
    </w:p>
    <w:p w14:paraId="052F7834" w14:textId="77777777" w:rsidR="00AB3E6B" w:rsidRPr="00AB3E6B" w:rsidRDefault="00AB3E6B" w:rsidP="00AB3E6B">
      <w:pPr>
        <w:rPr>
          <w:rFonts w:ascii="Times New Roman" w:hAnsi="Times New Roman" w:cs="Times New Roman"/>
          <w:color w:val="156082" w:themeColor="accent1"/>
          <w:u w:val="single"/>
        </w:rPr>
      </w:pPr>
      <w:r w:rsidRPr="00AB3E6B">
        <w:rPr>
          <w:rFonts w:ascii="Times New Roman" w:hAnsi="Times New Roman" w:cs="Times New Roman"/>
          <w:color w:val="156082" w:themeColor="accent1"/>
          <w:u w:val="single"/>
        </w:rPr>
        <w:t xml:space="preserve">Kampaņas mērķis ir skaidrot profesionāla sociālā darba nozīmi un vienlaikus veicināt jaunu speciālistu un atbalsta personu iesaisti sociālajā jomā. Tādēļ rezultātu novērtēšanā būtiskākiem vajadzētu būt tādiem rādītājiem kā mērķauditorijas sasniedzamība, kvalitatīva </w:t>
      </w:r>
      <w:r w:rsidRPr="00AB3E6B">
        <w:rPr>
          <w:rFonts w:ascii="Times New Roman" w:hAnsi="Times New Roman" w:cs="Times New Roman"/>
          <w:color w:val="156082" w:themeColor="accent1"/>
          <w:u w:val="single"/>
        </w:rPr>
        <w:lastRenderedPageBreak/>
        <w:t>iesaiste, satura patēriņš, ceļveža izmantošana, video skatījumi, dalība aktivitātēs un izmaiņas auditorijas informētībā vai attieksmē.</w:t>
      </w:r>
    </w:p>
    <w:p w14:paraId="09232475" w14:textId="77777777" w:rsidR="00AB3E6B" w:rsidRPr="00AB3E6B" w:rsidRDefault="00AB3E6B" w:rsidP="00AB3E6B">
      <w:pPr>
        <w:rPr>
          <w:rFonts w:ascii="Times New Roman" w:hAnsi="Times New Roman" w:cs="Times New Roman"/>
          <w:color w:val="156082" w:themeColor="accent1"/>
          <w:u w:val="single"/>
        </w:rPr>
      </w:pPr>
      <w:r w:rsidRPr="00AB3E6B">
        <w:rPr>
          <w:rFonts w:ascii="Times New Roman" w:hAnsi="Times New Roman" w:cs="Times New Roman"/>
          <w:color w:val="156082" w:themeColor="accent1"/>
          <w:u w:val="single"/>
        </w:rPr>
        <w:t>Arī pašā Tehniskajā specifikācijā noslēguma izvērtējumā paredzēts analizēt ne vien kvantitatīvos rezultātus, bet arī auditorijas atsauksmes, iesaisti, satura pārpublicēšanu, sociālo tīklu reakcijas un auditorijas izpratnes un attieksmes izmaiņu pazīmes. Tas apliecina, ka kampaņas efektivitāte pēc būtības nav reducējama uz vienu mājaslapas apmeklējuma rādītāju.</w:t>
      </w:r>
    </w:p>
    <w:p w14:paraId="243A4D82" w14:textId="77777777" w:rsidR="00AB3E6B" w:rsidRPr="00AB3E6B" w:rsidRDefault="00AB3E6B" w:rsidP="00AB3E6B">
      <w:pPr>
        <w:rPr>
          <w:rFonts w:ascii="Times New Roman" w:hAnsi="Times New Roman" w:cs="Times New Roman"/>
          <w:color w:val="156082" w:themeColor="accent1"/>
          <w:u w:val="single"/>
        </w:rPr>
      </w:pPr>
      <w:r w:rsidRPr="00AB3E6B">
        <w:rPr>
          <w:rFonts w:ascii="Times New Roman" w:hAnsi="Times New Roman" w:cs="Times New Roman"/>
          <w:color w:val="156082" w:themeColor="accent1"/>
          <w:u w:val="single"/>
        </w:rPr>
        <w:t>Secinājums un priekšlikums</w:t>
      </w:r>
    </w:p>
    <w:p w14:paraId="6BBC461F" w14:textId="77777777" w:rsidR="00AB3E6B" w:rsidRPr="00AB3E6B" w:rsidRDefault="00AB3E6B" w:rsidP="00AB3E6B">
      <w:pPr>
        <w:rPr>
          <w:rFonts w:ascii="Times New Roman" w:hAnsi="Times New Roman" w:cs="Times New Roman"/>
          <w:color w:val="156082" w:themeColor="accent1"/>
          <w:u w:val="single"/>
        </w:rPr>
      </w:pPr>
      <w:r w:rsidRPr="00AB3E6B">
        <w:rPr>
          <w:rFonts w:ascii="Times New Roman" w:hAnsi="Times New Roman" w:cs="Times New Roman"/>
          <w:color w:val="156082" w:themeColor="accent1"/>
          <w:u w:val="single"/>
        </w:rPr>
        <w:t>Ņemot vērā Latvijas interneta auditorijas absolūto lielumu, kampaņas specifisko tematiku, daudzkanālu komunikācijas modeli un digitālās komunikācijas lietotāju uzvedības principus, prasība nodrošināt 200 000 unikālu Kampaņas mājaslapas lietotāju ar vismaz 1 minūtes pavadīšanas laiku nav samērīga ar Latvijas tirgus apjomu un rada nesamērīgu izpildes un finanšu risku pakalpojuma sniedzējam.</w:t>
      </w:r>
    </w:p>
    <w:p w14:paraId="450F634A" w14:textId="30DB018F" w:rsidR="00AB3E6B" w:rsidRPr="001A003B" w:rsidRDefault="00AB3E6B" w:rsidP="00AB3E6B">
      <w:pPr>
        <w:rPr>
          <w:rFonts w:ascii="Times New Roman" w:hAnsi="Times New Roman" w:cs="Times New Roman"/>
          <w:color w:val="156082" w:themeColor="accent1"/>
          <w:u w:val="single"/>
        </w:rPr>
      </w:pPr>
      <w:r w:rsidRPr="00AB3E6B">
        <w:rPr>
          <w:rFonts w:ascii="Times New Roman" w:hAnsi="Times New Roman" w:cs="Times New Roman"/>
          <w:color w:val="156082" w:themeColor="accent1"/>
          <w:u w:val="single"/>
        </w:rPr>
        <w:t>Aicinām izslēgt 7.1.1. punktā noteikto rādītāju, saglabājot punktā 7.1.2. noteikto kritēriju.</w:t>
      </w:r>
    </w:p>
    <w:p w14:paraId="1E994F8B" w14:textId="6640E302" w:rsidR="00064C77" w:rsidRPr="00064C77" w:rsidRDefault="00064C77" w:rsidP="00AB4D95">
      <w:pPr>
        <w:jc w:val="both"/>
        <w:rPr>
          <w:rFonts w:ascii="Times New Roman" w:hAnsi="Times New Roman" w:cs="Times New Roman"/>
          <w:i/>
          <w:iCs/>
          <w:u w:val="single"/>
        </w:rPr>
      </w:pPr>
      <w:r w:rsidRPr="00064C77">
        <w:rPr>
          <w:rFonts w:ascii="Times New Roman" w:hAnsi="Times New Roman" w:cs="Times New Roman"/>
          <w:i/>
          <w:iCs/>
          <w:u w:val="single"/>
        </w:rPr>
        <w:t>Atbilde:</w:t>
      </w:r>
    </w:p>
    <w:p w14:paraId="1C528F03" w14:textId="25878F79" w:rsidR="009E68DF" w:rsidRPr="001A003B" w:rsidRDefault="00AB3E6B" w:rsidP="00AB4D95">
      <w:pPr>
        <w:jc w:val="both"/>
        <w:rPr>
          <w:rFonts w:ascii="Times New Roman" w:hAnsi="Times New Roman" w:cs="Times New Roman"/>
          <w:i/>
          <w:iCs/>
        </w:rPr>
      </w:pPr>
      <w:r>
        <w:rPr>
          <w:rFonts w:ascii="Times New Roman" w:hAnsi="Times New Roman" w:cs="Times New Roman"/>
          <w:i/>
          <w:iCs/>
        </w:rPr>
        <w:t>Izvērtējot pretendenta iesniegto argumentācij</w:t>
      </w:r>
      <w:r w:rsidR="005C3A56">
        <w:rPr>
          <w:rFonts w:ascii="Times New Roman" w:hAnsi="Times New Roman" w:cs="Times New Roman"/>
          <w:i/>
          <w:iCs/>
        </w:rPr>
        <w:t>u</w:t>
      </w:r>
      <w:r>
        <w:rPr>
          <w:rFonts w:ascii="Times New Roman" w:hAnsi="Times New Roman" w:cs="Times New Roman"/>
          <w:i/>
          <w:iCs/>
        </w:rPr>
        <w:t xml:space="preserve">, iepirkuma komisija veiks </w:t>
      </w:r>
      <w:r w:rsidR="005C3A56">
        <w:rPr>
          <w:rFonts w:ascii="Times New Roman" w:hAnsi="Times New Roman" w:cs="Times New Roman"/>
          <w:i/>
          <w:iCs/>
        </w:rPr>
        <w:t>iepirkuma dokumentācijas grozījumus tādā apmērā kāds tas tiks noteikts grozītā iepirkuma dokumentācijā.</w:t>
      </w:r>
    </w:p>
    <w:sectPr w:rsidR="009E68DF" w:rsidRPr="001A00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085B4B"/>
    <w:multiLevelType w:val="hybridMultilevel"/>
    <w:tmpl w:val="DCECC4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E1E1EF0"/>
    <w:multiLevelType w:val="hybridMultilevel"/>
    <w:tmpl w:val="330242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38379641">
    <w:abstractNumId w:val="1"/>
  </w:num>
  <w:num w:numId="2" w16cid:durableId="13882608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488E"/>
    <w:rsid w:val="00000D58"/>
    <w:rsid w:val="000416FA"/>
    <w:rsid w:val="00043C6C"/>
    <w:rsid w:val="0004637D"/>
    <w:rsid w:val="000530FB"/>
    <w:rsid w:val="00060958"/>
    <w:rsid w:val="00064C77"/>
    <w:rsid w:val="000B1CCC"/>
    <w:rsid w:val="00153A55"/>
    <w:rsid w:val="00156A0E"/>
    <w:rsid w:val="00186D71"/>
    <w:rsid w:val="001A003B"/>
    <w:rsid w:val="001B0296"/>
    <w:rsid w:val="001F2AB5"/>
    <w:rsid w:val="002271A2"/>
    <w:rsid w:val="00245C5D"/>
    <w:rsid w:val="0025607F"/>
    <w:rsid w:val="00265518"/>
    <w:rsid w:val="002725A8"/>
    <w:rsid w:val="002A0906"/>
    <w:rsid w:val="002A4B3F"/>
    <w:rsid w:val="002A6AE0"/>
    <w:rsid w:val="002C373F"/>
    <w:rsid w:val="002F7FA4"/>
    <w:rsid w:val="003019C1"/>
    <w:rsid w:val="00317820"/>
    <w:rsid w:val="003448B8"/>
    <w:rsid w:val="003656EB"/>
    <w:rsid w:val="003B70F1"/>
    <w:rsid w:val="003C277F"/>
    <w:rsid w:val="003C4404"/>
    <w:rsid w:val="00427503"/>
    <w:rsid w:val="00456356"/>
    <w:rsid w:val="0046306F"/>
    <w:rsid w:val="004B4CED"/>
    <w:rsid w:val="004C4396"/>
    <w:rsid w:val="004D2719"/>
    <w:rsid w:val="00515B2C"/>
    <w:rsid w:val="00520382"/>
    <w:rsid w:val="00555F58"/>
    <w:rsid w:val="00570DDB"/>
    <w:rsid w:val="00576A97"/>
    <w:rsid w:val="005A292E"/>
    <w:rsid w:val="005B0925"/>
    <w:rsid w:val="005B7E2A"/>
    <w:rsid w:val="005C2D16"/>
    <w:rsid w:val="005C3A56"/>
    <w:rsid w:val="005D618D"/>
    <w:rsid w:val="005E7B88"/>
    <w:rsid w:val="00627470"/>
    <w:rsid w:val="00635C5C"/>
    <w:rsid w:val="006A1084"/>
    <w:rsid w:val="006A65B4"/>
    <w:rsid w:val="0073487E"/>
    <w:rsid w:val="00780CD3"/>
    <w:rsid w:val="007B18E7"/>
    <w:rsid w:val="007D1CB7"/>
    <w:rsid w:val="007F43D2"/>
    <w:rsid w:val="007F73DF"/>
    <w:rsid w:val="007F793B"/>
    <w:rsid w:val="008035E5"/>
    <w:rsid w:val="00804EF9"/>
    <w:rsid w:val="00861D2A"/>
    <w:rsid w:val="0088015F"/>
    <w:rsid w:val="008D2B3E"/>
    <w:rsid w:val="008E3966"/>
    <w:rsid w:val="00925165"/>
    <w:rsid w:val="0096015D"/>
    <w:rsid w:val="009A66E8"/>
    <w:rsid w:val="009B329D"/>
    <w:rsid w:val="009E68DF"/>
    <w:rsid w:val="009F07B0"/>
    <w:rsid w:val="00A51B55"/>
    <w:rsid w:val="00A76775"/>
    <w:rsid w:val="00AA1BE9"/>
    <w:rsid w:val="00AA5B23"/>
    <w:rsid w:val="00AB3E6B"/>
    <w:rsid w:val="00AB4D95"/>
    <w:rsid w:val="00B23B3B"/>
    <w:rsid w:val="00B509D6"/>
    <w:rsid w:val="00B758AE"/>
    <w:rsid w:val="00B915C8"/>
    <w:rsid w:val="00B91EB6"/>
    <w:rsid w:val="00BA1525"/>
    <w:rsid w:val="00BB3EA2"/>
    <w:rsid w:val="00BB74B0"/>
    <w:rsid w:val="00BD17EA"/>
    <w:rsid w:val="00C65784"/>
    <w:rsid w:val="00C67B86"/>
    <w:rsid w:val="00C94726"/>
    <w:rsid w:val="00CA0D3B"/>
    <w:rsid w:val="00CB1C75"/>
    <w:rsid w:val="00CC2A55"/>
    <w:rsid w:val="00CC4EBC"/>
    <w:rsid w:val="00CE7330"/>
    <w:rsid w:val="00CF3504"/>
    <w:rsid w:val="00CF701F"/>
    <w:rsid w:val="00D03906"/>
    <w:rsid w:val="00D37D96"/>
    <w:rsid w:val="00D77583"/>
    <w:rsid w:val="00D80DA0"/>
    <w:rsid w:val="00D813C5"/>
    <w:rsid w:val="00DA40FE"/>
    <w:rsid w:val="00DA488E"/>
    <w:rsid w:val="00DA74BA"/>
    <w:rsid w:val="00DD02DC"/>
    <w:rsid w:val="00E005E0"/>
    <w:rsid w:val="00E11F0E"/>
    <w:rsid w:val="00E208BA"/>
    <w:rsid w:val="00E261F6"/>
    <w:rsid w:val="00E5289B"/>
    <w:rsid w:val="00E547E1"/>
    <w:rsid w:val="00E775A7"/>
    <w:rsid w:val="00EA03BD"/>
    <w:rsid w:val="00EA223B"/>
    <w:rsid w:val="00ED0468"/>
    <w:rsid w:val="00EE312A"/>
    <w:rsid w:val="00EE497A"/>
    <w:rsid w:val="00F14EA7"/>
    <w:rsid w:val="00F16761"/>
    <w:rsid w:val="00F237E6"/>
    <w:rsid w:val="00F71EB7"/>
    <w:rsid w:val="00F82718"/>
    <w:rsid w:val="00F9665D"/>
    <w:rsid w:val="00FA591E"/>
    <w:rsid w:val="00FB2ED7"/>
    <w:rsid w:val="00FC1A4E"/>
    <w:rsid w:val="00FE3E5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77686"/>
  <w15:chartTrackingRefBased/>
  <w15:docId w15:val="{05D5E62E-4182-C941-982F-7D495493D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48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A48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A488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A488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488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488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488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488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488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488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A488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A488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488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488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48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48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48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488E"/>
    <w:rPr>
      <w:rFonts w:eastAsiaTheme="majorEastAsia" w:cstheme="majorBidi"/>
      <w:color w:val="272727" w:themeColor="text1" w:themeTint="D8"/>
    </w:rPr>
  </w:style>
  <w:style w:type="paragraph" w:styleId="Title">
    <w:name w:val="Title"/>
    <w:basedOn w:val="Normal"/>
    <w:next w:val="Normal"/>
    <w:link w:val="TitleChar"/>
    <w:uiPriority w:val="10"/>
    <w:qFormat/>
    <w:rsid w:val="00DA48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48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488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48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488E"/>
    <w:pPr>
      <w:spacing w:before="160"/>
      <w:jc w:val="center"/>
    </w:pPr>
    <w:rPr>
      <w:i/>
      <w:iCs/>
      <w:color w:val="404040" w:themeColor="text1" w:themeTint="BF"/>
    </w:rPr>
  </w:style>
  <w:style w:type="character" w:customStyle="1" w:styleId="QuoteChar">
    <w:name w:val="Quote Char"/>
    <w:basedOn w:val="DefaultParagraphFont"/>
    <w:link w:val="Quote"/>
    <w:uiPriority w:val="29"/>
    <w:rsid w:val="00DA488E"/>
    <w:rPr>
      <w:i/>
      <w:iCs/>
      <w:color w:val="404040" w:themeColor="text1" w:themeTint="BF"/>
    </w:rPr>
  </w:style>
  <w:style w:type="paragraph" w:styleId="ListParagraph">
    <w:name w:val="List Paragraph"/>
    <w:basedOn w:val="Normal"/>
    <w:uiPriority w:val="34"/>
    <w:qFormat/>
    <w:rsid w:val="00DA488E"/>
    <w:pPr>
      <w:ind w:left="720"/>
      <w:contextualSpacing/>
    </w:pPr>
  </w:style>
  <w:style w:type="character" w:styleId="IntenseEmphasis">
    <w:name w:val="Intense Emphasis"/>
    <w:basedOn w:val="DefaultParagraphFont"/>
    <w:uiPriority w:val="21"/>
    <w:qFormat/>
    <w:rsid w:val="00DA488E"/>
    <w:rPr>
      <w:i/>
      <w:iCs/>
      <w:color w:val="0F4761" w:themeColor="accent1" w:themeShade="BF"/>
    </w:rPr>
  </w:style>
  <w:style w:type="paragraph" w:styleId="IntenseQuote">
    <w:name w:val="Intense Quote"/>
    <w:basedOn w:val="Normal"/>
    <w:next w:val="Normal"/>
    <w:link w:val="IntenseQuoteChar"/>
    <w:uiPriority w:val="30"/>
    <w:qFormat/>
    <w:rsid w:val="00DA48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488E"/>
    <w:rPr>
      <w:i/>
      <w:iCs/>
      <w:color w:val="0F4761" w:themeColor="accent1" w:themeShade="BF"/>
    </w:rPr>
  </w:style>
  <w:style w:type="character" w:styleId="IntenseReference">
    <w:name w:val="Intense Reference"/>
    <w:basedOn w:val="DefaultParagraphFont"/>
    <w:uiPriority w:val="32"/>
    <w:qFormat/>
    <w:rsid w:val="00DA488E"/>
    <w:rPr>
      <w:b/>
      <w:bCs/>
      <w:smallCaps/>
      <w:color w:val="0F4761" w:themeColor="accent1" w:themeShade="BF"/>
      <w:spacing w:val="5"/>
    </w:rPr>
  </w:style>
  <w:style w:type="character" w:styleId="Strong">
    <w:name w:val="Strong"/>
    <w:basedOn w:val="DefaultParagraphFont"/>
    <w:uiPriority w:val="22"/>
    <w:qFormat/>
    <w:rsid w:val="003019C1"/>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E7181A-3031-4087-B4ED-880747B12A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3748</Words>
  <Characters>2137</Characters>
  <Application>Microsoft Office Word</Application>
  <DocSecurity>0</DocSecurity>
  <Lines>17</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Vineta Savicka</dc:creator>
  <cp:keywords/>
  <dc:description/>
  <cp:lastModifiedBy>Laila Škoba</cp:lastModifiedBy>
  <cp:revision>3</cp:revision>
  <dcterms:created xsi:type="dcterms:W3CDTF">2026-08-19T12:08:00Z</dcterms:created>
  <dcterms:modified xsi:type="dcterms:W3CDTF">2026-08-19T12:11:00Z</dcterms:modified>
</cp:coreProperties>
</file>