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BEE88" w14:textId="77777777" w:rsidR="001863CE" w:rsidRPr="0041559C" w:rsidRDefault="001863CE" w:rsidP="009D6258">
      <w:pPr>
        <w:spacing w:after="0" w:line="240" w:lineRule="auto"/>
        <w:contextualSpacing/>
        <w:jc w:val="both"/>
        <w:rPr>
          <w:rFonts w:ascii="Times New Roman" w:eastAsia="Times New Roman" w:hAnsi="Times New Roman"/>
          <w:sz w:val="24"/>
          <w:szCs w:val="24"/>
        </w:rPr>
      </w:pPr>
      <w:bookmarkStart w:id="0" w:name="_Hlk238471928"/>
    </w:p>
    <w:p w14:paraId="331CE38B" w14:textId="77777777" w:rsidR="009D6258" w:rsidRPr="009D6258" w:rsidRDefault="009D6258" w:rsidP="009D6258">
      <w:pPr>
        <w:pStyle w:val="ListParagraph"/>
        <w:numPr>
          <w:ilvl w:val="0"/>
          <w:numId w:val="4"/>
        </w:numPr>
        <w:ind w:left="426" w:hanging="426"/>
        <w:jc w:val="both"/>
        <w:rPr>
          <w:b/>
          <w:bCs/>
          <w:u w:val="single"/>
        </w:rPr>
      </w:pPr>
      <w:r w:rsidRPr="009D6258">
        <w:rPr>
          <w:b/>
          <w:bCs/>
          <w:u w:val="single"/>
        </w:rPr>
        <w:t>Jautājums</w:t>
      </w:r>
    </w:p>
    <w:p w14:paraId="76520CC1"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 xml:space="preserve">Lai iepirkuma izvērtēšanas procesā nerastos neskaidrības lūdzu skaidri definēt, ko iepirkuma komisijas izpratnē nozīmē “Analogs” </w:t>
      </w:r>
    </w:p>
    <w:p w14:paraId="44C05055"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Latviešu valodas skaidrojošajā vārdnīcā (</w:t>
      </w:r>
      <w:hyperlink r:id="rId7" w:history="1">
        <w:r w:rsidRPr="009D6258">
          <w:rPr>
            <w:rStyle w:val="Hyperlink"/>
            <w:rFonts w:ascii="Times New Roman" w:hAnsi="Times New Roman"/>
            <w:sz w:val="24"/>
            <w:szCs w:val="24"/>
          </w:rPr>
          <w:t>https://mlvv.tezaurs.lv/analogs)</w:t>
        </w:r>
      </w:hyperlink>
    </w:p>
    <w:p w14:paraId="20D6AF69"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bCs/>
          <w:sz w:val="24"/>
          <w:szCs w:val="24"/>
        </w:rPr>
        <w:t>Ir definēts</w:t>
      </w:r>
      <w:r w:rsidRPr="009D6258">
        <w:rPr>
          <w:rFonts w:ascii="Times New Roman" w:hAnsi="Times New Roman"/>
          <w:b/>
          <w:bCs/>
          <w:sz w:val="24"/>
          <w:szCs w:val="24"/>
        </w:rPr>
        <w:t xml:space="preserve"> “</w:t>
      </w:r>
      <w:r w:rsidRPr="009D6258">
        <w:rPr>
          <w:rFonts w:ascii="Times New Roman" w:hAnsi="Times New Roman"/>
          <w:sz w:val="24"/>
          <w:szCs w:val="24"/>
        </w:rPr>
        <w:t>Tāds, kam ir atšķirīga uzbūve, darbības principi, bet veic to pašu funkciju”</w:t>
      </w:r>
    </w:p>
    <w:p w14:paraId="67142383" w14:textId="77777777" w:rsidR="009D6258" w:rsidRPr="009D6258" w:rsidRDefault="009D6258" w:rsidP="009D6258">
      <w:pPr>
        <w:spacing w:after="0" w:line="240" w:lineRule="auto"/>
        <w:jc w:val="both"/>
        <w:rPr>
          <w:rFonts w:ascii="Times New Roman" w:hAnsi="Times New Roman"/>
          <w:sz w:val="24"/>
          <w:szCs w:val="24"/>
        </w:rPr>
      </w:pPr>
      <w:hyperlink r:id="rId8" w:history="1">
        <w:r w:rsidRPr="009D6258">
          <w:rPr>
            <w:rStyle w:val="Hyperlink"/>
            <w:rFonts w:ascii="Times New Roman" w:hAnsi="Times New Roman"/>
            <w:sz w:val="24"/>
            <w:szCs w:val="24"/>
          </w:rPr>
          <w:t>https://www.vardnica.lv/svesvardu-vardnica/a/analogs</w:t>
        </w:r>
      </w:hyperlink>
    </w:p>
    <w:p w14:paraId="0AA346AA"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Vai arī skaidrojums citā vietnē:</w:t>
      </w:r>
    </w:p>
    <w:p w14:paraId="34DA94B7"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w:t>
      </w:r>
      <w:hyperlink r:id="rId9" w:history="1">
        <w:r w:rsidRPr="009D6258">
          <w:rPr>
            <w:rStyle w:val="Hyperlink"/>
            <w:rFonts w:ascii="Times New Roman" w:hAnsi="Times New Roman"/>
            <w:sz w:val="24"/>
            <w:szCs w:val="24"/>
          </w:rPr>
          <w:t>https://www.google.com/search?client=opera&amp;q=kas+ir+analogs&amp;sourceid=opera&amp;ie=UTF-8&amp;oe=UTF-8</w:t>
        </w:r>
      </w:hyperlink>
      <w:r w:rsidRPr="009D6258">
        <w:rPr>
          <w:rStyle w:val="Hyperlink"/>
          <w:rFonts w:ascii="Times New Roman" w:hAnsi="Times New Roman"/>
          <w:sz w:val="24"/>
          <w:szCs w:val="24"/>
        </w:rPr>
        <w:t>)</w:t>
      </w:r>
    </w:p>
    <w:p w14:paraId="408809B8"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w:t>
      </w:r>
      <w:hyperlink r:id="rId10" w:tgtFrame="_blank" w:history="1">
        <w:r w:rsidRPr="009D6258">
          <w:rPr>
            <w:rFonts w:ascii="Times New Roman" w:hAnsi="Times New Roman"/>
            <w:sz w:val="24"/>
            <w:szCs w:val="24"/>
          </w:rPr>
          <w:t>Analogs ir kaut kas līdzīgs, atbilstošs vai pielīdzināms citam priekšmetam, parādībai vai jēdzienam</w:t>
        </w:r>
      </w:hyperlink>
      <w:r w:rsidRPr="009D6258">
        <w:rPr>
          <w:rFonts w:ascii="Times New Roman" w:hAnsi="Times New Roman"/>
          <w:sz w:val="24"/>
          <w:szCs w:val="24"/>
        </w:rPr>
        <w:t>. Tas pilda tādas pašas funkcijas vai izskatās līdzīgi, lai gan var atšķirties pēc uzbūves vai sastāva”</w:t>
      </w:r>
    </w:p>
    <w:p w14:paraId="3DE9BE7F"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Saistībā ar iepriekšminēto vēlamies saņemt komisijas vērtējumu ar konkrēto piemēru:</w:t>
      </w:r>
    </w:p>
    <w:p w14:paraId="4B3DE222"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 xml:space="preserve">Konkursa specifikācijas punkts 18.1.3. </w:t>
      </w:r>
    </w:p>
    <w:tbl>
      <w:tblPr>
        <w:tblW w:w="7320" w:type="dxa"/>
        <w:tblLook w:val="04A0" w:firstRow="1" w:lastRow="0" w:firstColumn="1" w:lastColumn="0" w:noHBand="0" w:noVBand="1"/>
      </w:tblPr>
      <w:tblGrid>
        <w:gridCol w:w="680"/>
        <w:gridCol w:w="680"/>
        <w:gridCol w:w="5960"/>
      </w:tblGrid>
      <w:tr w:rsidR="009D6258" w:rsidRPr="009D6258" w14:paraId="5D72A92B" w14:textId="77777777" w:rsidTr="0068313F">
        <w:trPr>
          <w:trHeight w:val="525"/>
        </w:trPr>
        <w:tc>
          <w:tcPr>
            <w:tcW w:w="680" w:type="dxa"/>
            <w:tcBorders>
              <w:top w:val="single" w:sz="4" w:space="0" w:color="auto"/>
              <w:left w:val="single" w:sz="4" w:space="0" w:color="auto"/>
              <w:bottom w:val="single" w:sz="4" w:space="0" w:color="auto"/>
              <w:right w:val="nil"/>
            </w:tcBorders>
            <w:vAlign w:val="center"/>
            <w:hideMark/>
          </w:tcPr>
          <w:p w14:paraId="2018FD95" w14:textId="77777777" w:rsidR="009D6258" w:rsidRPr="009D6258" w:rsidRDefault="009D6258" w:rsidP="009D6258">
            <w:pPr>
              <w:spacing w:after="0" w:line="240" w:lineRule="auto"/>
              <w:jc w:val="both"/>
              <w:rPr>
                <w:rFonts w:ascii="Times New Roman" w:eastAsia="Times New Roman" w:hAnsi="Times New Roman"/>
                <w:sz w:val="24"/>
                <w:szCs w:val="24"/>
              </w:rPr>
            </w:pPr>
            <w:r w:rsidRPr="009D6258">
              <w:rPr>
                <w:rFonts w:ascii="Times New Roman" w:eastAsia="Times New Roman" w:hAnsi="Times New Roman"/>
                <w:sz w:val="24"/>
                <w:szCs w:val="24"/>
              </w:rPr>
              <w:t>18.1</w:t>
            </w:r>
          </w:p>
        </w:tc>
        <w:tc>
          <w:tcPr>
            <w:tcW w:w="680" w:type="dxa"/>
            <w:tcBorders>
              <w:top w:val="single" w:sz="4" w:space="0" w:color="auto"/>
              <w:left w:val="nil"/>
              <w:bottom w:val="single" w:sz="4" w:space="0" w:color="auto"/>
              <w:right w:val="single" w:sz="4" w:space="0" w:color="auto"/>
            </w:tcBorders>
            <w:vAlign w:val="center"/>
            <w:hideMark/>
          </w:tcPr>
          <w:p w14:paraId="79C4FEB0" w14:textId="77777777" w:rsidR="009D6258" w:rsidRPr="009D6258" w:rsidRDefault="009D6258" w:rsidP="009D6258">
            <w:pPr>
              <w:spacing w:after="0" w:line="240" w:lineRule="auto"/>
              <w:jc w:val="both"/>
              <w:rPr>
                <w:rFonts w:ascii="Times New Roman" w:eastAsia="Times New Roman" w:hAnsi="Times New Roman"/>
                <w:sz w:val="24"/>
                <w:szCs w:val="24"/>
              </w:rPr>
            </w:pPr>
            <w:r w:rsidRPr="009D6258">
              <w:rPr>
                <w:rFonts w:ascii="Times New Roman" w:eastAsia="Times New Roman" w:hAnsi="Times New Roman"/>
                <w:sz w:val="24"/>
                <w:szCs w:val="24"/>
              </w:rPr>
              <w:t>3</w:t>
            </w:r>
          </w:p>
        </w:tc>
        <w:tc>
          <w:tcPr>
            <w:tcW w:w="5960" w:type="dxa"/>
            <w:tcBorders>
              <w:top w:val="single" w:sz="4" w:space="0" w:color="auto"/>
              <w:left w:val="single" w:sz="4" w:space="0" w:color="auto"/>
              <w:bottom w:val="single" w:sz="4" w:space="0" w:color="auto"/>
              <w:right w:val="single" w:sz="4" w:space="0" w:color="auto"/>
            </w:tcBorders>
            <w:vAlign w:val="center"/>
            <w:hideMark/>
          </w:tcPr>
          <w:p w14:paraId="156BA3AC" w14:textId="77777777" w:rsidR="009D6258" w:rsidRPr="009D6258" w:rsidRDefault="009D6258" w:rsidP="009D6258">
            <w:pPr>
              <w:spacing w:after="0" w:line="240" w:lineRule="auto"/>
              <w:jc w:val="both"/>
              <w:rPr>
                <w:rFonts w:ascii="Times New Roman" w:eastAsia="Times New Roman" w:hAnsi="Times New Roman"/>
                <w:sz w:val="24"/>
                <w:szCs w:val="24"/>
              </w:rPr>
            </w:pPr>
            <w:bookmarkStart w:id="1" w:name="_Hlk237867444"/>
            <w:r w:rsidRPr="009D6258">
              <w:rPr>
                <w:rFonts w:ascii="Times New Roman" w:eastAsia="Times New Roman" w:hAnsi="Times New Roman"/>
                <w:sz w:val="24"/>
                <w:szCs w:val="24"/>
              </w:rPr>
              <w:t xml:space="preserve">Galu diametrs 0,6 ±0,1 mm: Garums 230 ±10 mm </w:t>
            </w:r>
            <w:bookmarkEnd w:id="1"/>
            <w:r w:rsidRPr="009D6258">
              <w:rPr>
                <w:rFonts w:ascii="Times New Roman" w:eastAsia="Times New Roman" w:hAnsi="Times New Roman"/>
                <w:sz w:val="24"/>
                <w:szCs w:val="24"/>
              </w:rPr>
              <w:t>(Atsauces nr. KLS Martin 80-991-23-04 vai analogs)</w:t>
            </w:r>
          </w:p>
        </w:tc>
      </w:tr>
    </w:tbl>
    <w:p w14:paraId="12D0AC7E"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 xml:space="preserve"> KLS Martin 80-991-23-04 : </w:t>
      </w:r>
      <w:r w:rsidRPr="009D6258">
        <w:rPr>
          <w:rFonts w:ascii="Times New Roman" w:hAnsi="Times New Roman"/>
          <w:noProof/>
          <w:sz w:val="24"/>
          <w:szCs w:val="24"/>
        </w:rPr>
        <w:drawing>
          <wp:inline distT="0" distB="0" distL="0" distR="0" wp14:anchorId="005AAEED" wp14:editId="31F56A0E">
            <wp:extent cx="567379" cy="3514746"/>
            <wp:effectExtent l="0" t="6985" r="0" b="0"/>
            <wp:docPr id="618595191" name="Attēls 1" descr="80-991-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0-991-23-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flipH="1">
                      <a:off x="0" y="0"/>
                      <a:ext cx="591212" cy="3662382"/>
                    </a:xfrm>
                    <a:prstGeom prst="rect">
                      <a:avLst/>
                    </a:prstGeom>
                    <a:noFill/>
                    <a:ln>
                      <a:noFill/>
                    </a:ln>
                  </pic:spPr>
                </pic:pic>
              </a:graphicData>
            </a:graphic>
          </wp:inline>
        </w:drawing>
      </w:r>
    </w:p>
    <w:p w14:paraId="6A761764"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 xml:space="preserve">Iespējama piedāvājuma variants ir sekojošs:  </w:t>
      </w:r>
      <w:r w:rsidRPr="009D6258">
        <w:rPr>
          <w:rFonts w:ascii="Times New Roman" w:hAnsi="Times New Roman"/>
          <w:noProof/>
          <w:sz w:val="24"/>
          <w:szCs w:val="24"/>
        </w:rPr>
        <w:drawing>
          <wp:inline distT="0" distB="0" distL="0" distR="0" wp14:anchorId="2EF25828" wp14:editId="222CB9D2">
            <wp:extent cx="605430" cy="3488921"/>
            <wp:effectExtent l="6033" t="0" r="0" b="0"/>
            <wp:docPr id="374642943" name="Attēls 2" descr="Bipolar force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polar forceps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611083" cy="3521495"/>
                    </a:xfrm>
                    <a:prstGeom prst="rect">
                      <a:avLst/>
                    </a:prstGeom>
                    <a:noFill/>
                    <a:ln>
                      <a:noFill/>
                    </a:ln>
                  </pic:spPr>
                </pic:pic>
              </a:graphicData>
            </a:graphic>
          </wp:inline>
        </w:drawing>
      </w:r>
    </w:p>
    <w:p w14:paraId="4F6C4B51"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 xml:space="preserve">Kā redzams atšķirība ir tikai rokturu dizainā, ar īpašu </w:t>
      </w:r>
      <w:proofErr w:type="spellStart"/>
      <w:r w:rsidRPr="009D6258">
        <w:rPr>
          <w:rFonts w:ascii="Times New Roman" w:hAnsi="Times New Roman"/>
          <w:sz w:val="24"/>
          <w:szCs w:val="24"/>
        </w:rPr>
        <w:t>pretslīdes</w:t>
      </w:r>
      <w:proofErr w:type="spellEnd"/>
      <w:r w:rsidRPr="009D6258">
        <w:rPr>
          <w:rFonts w:ascii="Times New Roman" w:hAnsi="Times New Roman"/>
          <w:sz w:val="24"/>
          <w:szCs w:val="24"/>
        </w:rPr>
        <w:t xml:space="preserve"> konstrukciju.</w:t>
      </w:r>
    </w:p>
    <w:p w14:paraId="08924329"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Lūdzam sniegt vērtējuma rezultātu, lai saprastu pamatprincipus par komisijas ”Analogu” piedāvājumu novērtēšanu.</w:t>
      </w:r>
    </w:p>
    <w:p w14:paraId="76F31AC0" w14:textId="77777777" w:rsidR="009D6258" w:rsidRDefault="009D6258" w:rsidP="009D6258">
      <w:pPr>
        <w:spacing w:after="0" w:line="240" w:lineRule="auto"/>
        <w:jc w:val="both"/>
        <w:rPr>
          <w:rFonts w:ascii="Times New Roman" w:hAnsi="Times New Roman"/>
          <w:b/>
          <w:bCs/>
          <w:sz w:val="24"/>
          <w:szCs w:val="24"/>
          <w:highlight w:val="yellow"/>
          <w:u w:val="single"/>
        </w:rPr>
      </w:pPr>
    </w:p>
    <w:p w14:paraId="6E274279" w14:textId="6FBB13CA" w:rsidR="009D6258" w:rsidRPr="009D6258" w:rsidRDefault="009D6258" w:rsidP="009D6258">
      <w:pPr>
        <w:spacing w:after="0" w:line="240" w:lineRule="auto"/>
        <w:jc w:val="both"/>
        <w:rPr>
          <w:rFonts w:ascii="Times New Roman" w:hAnsi="Times New Roman"/>
          <w:b/>
          <w:bCs/>
          <w:sz w:val="24"/>
          <w:szCs w:val="24"/>
          <w:u w:val="single"/>
        </w:rPr>
      </w:pPr>
      <w:r w:rsidRPr="009D6258">
        <w:rPr>
          <w:rFonts w:ascii="Times New Roman" w:hAnsi="Times New Roman"/>
          <w:b/>
          <w:bCs/>
          <w:sz w:val="24"/>
          <w:szCs w:val="24"/>
          <w:u w:val="single"/>
        </w:rPr>
        <w:t>Atbilde:</w:t>
      </w:r>
    </w:p>
    <w:p w14:paraId="732E2034"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Komisija skaidro, ka 18.1.3. punktā par atbilstošu tiks atzīta tāda prece, kas atbilst izvirzītajām prasībām:</w:t>
      </w:r>
    </w:p>
    <w:p w14:paraId="4B965BA8" w14:textId="77777777" w:rsidR="009D6258" w:rsidRPr="009D6258" w:rsidRDefault="009D6258" w:rsidP="009D6258">
      <w:pPr>
        <w:pStyle w:val="ListParagraph"/>
        <w:numPr>
          <w:ilvl w:val="0"/>
          <w:numId w:val="6"/>
        </w:numPr>
        <w:jc w:val="both"/>
      </w:pPr>
      <w:r w:rsidRPr="009D6258">
        <w:t>Galu diametrs 0,6 ±0,1 mm: Garums 230 ±10 mm (18.1.3.)</w:t>
      </w:r>
    </w:p>
    <w:p w14:paraId="6247241B" w14:textId="77777777" w:rsidR="009D6258" w:rsidRPr="009D6258" w:rsidRDefault="009D6258" w:rsidP="009D6258">
      <w:pPr>
        <w:pStyle w:val="ListParagraph"/>
        <w:numPr>
          <w:ilvl w:val="0"/>
          <w:numId w:val="6"/>
        </w:numPr>
        <w:jc w:val="both"/>
      </w:pPr>
      <w:r w:rsidRPr="009D6258">
        <w:t xml:space="preserve">Daudzreiz lietojamas, </w:t>
      </w:r>
      <w:proofErr w:type="spellStart"/>
      <w:r w:rsidRPr="009D6258">
        <w:t>dezinfizējamas</w:t>
      </w:r>
      <w:proofErr w:type="spellEnd"/>
      <w:r w:rsidRPr="009D6258">
        <w:t xml:space="preserve"> un </w:t>
      </w:r>
      <w:proofErr w:type="spellStart"/>
      <w:r w:rsidRPr="009D6258">
        <w:t>autoklavējamas</w:t>
      </w:r>
      <w:proofErr w:type="spellEnd"/>
      <w:r w:rsidRPr="009D6258">
        <w:t xml:space="preserve"> temperatūrā līdz 134 °C (8.1.13.);</w:t>
      </w:r>
    </w:p>
    <w:p w14:paraId="5E41051C" w14:textId="77777777" w:rsidR="009D6258" w:rsidRPr="009D6258" w:rsidRDefault="009D6258" w:rsidP="009D6258">
      <w:pPr>
        <w:pStyle w:val="ListParagraph"/>
        <w:numPr>
          <w:ilvl w:val="0"/>
          <w:numId w:val="6"/>
        </w:numPr>
        <w:jc w:val="both"/>
      </w:pPr>
      <w:r w:rsidRPr="009D6258">
        <w:t xml:space="preserve">Gali no </w:t>
      </w:r>
      <w:proofErr w:type="spellStart"/>
      <w:r w:rsidRPr="009D6258">
        <w:t>pretpiedegšanu</w:t>
      </w:r>
      <w:proofErr w:type="spellEnd"/>
      <w:r w:rsidRPr="009D6258">
        <w:t xml:space="preserve"> nodrošinoša monolīta metāla vai sakausējuma (bez pārklājuma) (8.1.14.);</w:t>
      </w:r>
    </w:p>
    <w:p w14:paraId="7F6DF330" w14:textId="77777777" w:rsidR="009D6258" w:rsidRPr="009D6258" w:rsidRDefault="009D6258" w:rsidP="009D6258">
      <w:pPr>
        <w:pStyle w:val="ListParagraph"/>
        <w:numPr>
          <w:ilvl w:val="0"/>
          <w:numId w:val="6"/>
        </w:numPr>
        <w:jc w:val="both"/>
      </w:pPr>
      <w:r w:rsidRPr="009D6258">
        <w:t xml:space="preserve">Ne </w:t>
      </w:r>
      <w:proofErr w:type="spellStart"/>
      <w:r w:rsidRPr="009D6258">
        <w:t>parkarsējošas</w:t>
      </w:r>
      <w:proofErr w:type="spellEnd"/>
      <w:r w:rsidRPr="009D6258">
        <w:t xml:space="preserve"> (non </w:t>
      </w:r>
      <w:proofErr w:type="spellStart"/>
      <w:r w:rsidRPr="009D6258">
        <w:t>stick</w:t>
      </w:r>
      <w:proofErr w:type="spellEnd"/>
      <w:r w:rsidRPr="009D6258">
        <w:t>) (8.1.15.);</w:t>
      </w:r>
    </w:p>
    <w:p w14:paraId="3817677B" w14:textId="77777777" w:rsidR="009D6258" w:rsidRPr="009D6258" w:rsidRDefault="009D6258" w:rsidP="009D6258">
      <w:pPr>
        <w:pStyle w:val="ListParagraph"/>
        <w:numPr>
          <w:ilvl w:val="0"/>
          <w:numId w:val="6"/>
        </w:numPr>
        <w:jc w:val="both"/>
      </w:pPr>
      <w:proofErr w:type="spellStart"/>
      <w:r w:rsidRPr="009D6258">
        <w:t>Bajonetveida</w:t>
      </w:r>
      <w:proofErr w:type="spellEnd"/>
      <w:r w:rsidRPr="009D6258">
        <w:t xml:space="preserve"> savienojums (8.1.16.);</w:t>
      </w:r>
    </w:p>
    <w:p w14:paraId="74E9BB03" w14:textId="77777777" w:rsidR="009D6258" w:rsidRPr="009D6258" w:rsidRDefault="009D6258" w:rsidP="009D6258">
      <w:pPr>
        <w:pStyle w:val="ListParagraph"/>
        <w:numPr>
          <w:ilvl w:val="0"/>
          <w:numId w:val="6"/>
        </w:numPr>
        <w:jc w:val="both"/>
      </w:pPr>
      <w:r w:rsidRPr="009D6258">
        <w:t>Ar integrētu pincetes virzošo mehānismu, lai nodrošinātu precīzu saspiešanu bez galu nobīdes (8.1.17.);</w:t>
      </w:r>
    </w:p>
    <w:p w14:paraId="45B8606B" w14:textId="77777777" w:rsidR="009D6258" w:rsidRPr="009D6258" w:rsidRDefault="009D6258" w:rsidP="009D6258">
      <w:pPr>
        <w:pStyle w:val="ListParagraph"/>
        <w:numPr>
          <w:ilvl w:val="0"/>
          <w:numId w:val="6"/>
        </w:numPr>
        <w:jc w:val="both"/>
      </w:pPr>
      <w:r w:rsidRPr="009D6258">
        <w:t>Ar taisniem galiem (8.1.18.).</w:t>
      </w:r>
    </w:p>
    <w:p w14:paraId="4D57CC4D" w14:textId="2E312B3F"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lastRenderedPageBreak/>
        <w:t xml:space="preserve">Piedāvātajai precei ir perforēts rokturis bez virzošā mehānisma, kas </w:t>
      </w:r>
      <w:r>
        <w:rPr>
          <w:rFonts w:ascii="Times New Roman" w:hAnsi="Times New Roman"/>
          <w:sz w:val="24"/>
          <w:szCs w:val="24"/>
        </w:rPr>
        <w:t>attiecīgi</w:t>
      </w:r>
      <w:r w:rsidRPr="009D6258">
        <w:rPr>
          <w:rFonts w:ascii="Times New Roman" w:hAnsi="Times New Roman"/>
          <w:sz w:val="24"/>
          <w:szCs w:val="24"/>
        </w:rPr>
        <w:t xml:space="preserve"> nav ne atbilstošs, ne analogs KLS Martin rokturim. </w:t>
      </w:r>
    </w:p>
    <w:p w14:paraId="3C45813C" w14:textId="77777777" w:rsidR="009D6258" w:rsidRPr="009D6258" w:rsidRDefault="009D6258" w:rsidP="009D6258">
      <w:pPr>
        <w:spacing w:after="0" w:line="240" w:lineRule="auto"/>
        <w:jc w:val="both"/>
        <w:rPr>
          <w:rFonts w:ascii="Times New Roman" w:hAnsi="Times New Roman"/>
          <w:sz w:val="24"/>
          <w:szCs w:val="24"/>
        </w:rPr>
      </w:pPr>
    </w:p>
    <w:p w14:paraId="517BBDC7" w14:textId="77777777" w:rsidR="009D6258" w:rsidRPr="009D6258" w:rsidRDefault="009D6258" w:rsidP="009D6258">
      <w:pPr>
        <w:pStyle w:val="ListParagraph"/>
        <w:numPr>
          <w:ilvl w:val="0"/>
          <w:numId w:val="4"/>
        </w:numPr>
        <w:ind w:left="426" w:hanging="426"/>
        <w:jc w:val="both"/>
        <w:rPr>
          <w:b/>
          <w:bCs/>
          <w:u w:val="single"/>
        </w:rPr>
      </w:pPr>
      <w:r w:rsidRPr="009D6258">
        <w:rPr>
          <w:b/>
          <w:bCs/>
          <w:u w:val="single"/>
        </w:rPr>
        <w:t>Jautājums</w:t>
      </w:r>
    </w:p>
    <w:p w14:paraId="132C531D"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Kā minēts nolikuma punktā 4.1.4 “</w:t>
      </w:r>
      <w:r w:rsidRPr="009D6258">
        <w:rPr>
          <w:rFonts w:ascii="Times New Roman" w:hAnsi="Times New Roman"/>
          <w:i/>
          <w:iCs/>
          <w:sz w:val="24"/>
          <w:szCs w:val="24"/>
        </w:rPr>
        <w:t>Preces paraugs var tikt testēts, un var tikt iznīcināts, vai bojāts. Ja Preces paraugs netiks bojāts, vai iznīcināts, tas, pēc pieprasījuma, var tikt atgriezts parauga iesniedzējam”.</w:t>
      </w:r>
    </w:p>
    <w:p w14:paraId="267D2E84"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Lai nodrošinātu konkursa nolikuma punktos 6.2.1. un 6.2.2 minēto, lūdzam pievērst uzmanību paraugu izvērtēšanas procesa dokumentēšanai, lai varētu informēt ražotājus un atbildīgās iestādes.</w:t>
      </w:r>
    </w:p>
    <w:p w14:paraId="2B6E5386" w14:textId="77777777" w:rsidR="009D6258" w:rsidRPr="009D6258" w:rsidRDefault="009D6258" w:rsidP="009D6258">
      <w:pPr>
        <w:tabs>
          <w:tab w:val="left" w:pos="1134"/>
        </w:tabs>
        <w:spacing w:after="0" w:line="240" w:lineRule="auto"/>
        <w:jc w:val="both"/>
        <w:outlineLvl w:val="2"/>
        <w:rPr>
          <w:rFonts w:ascii="Times New Roman" w:hAnsi="Times New Roman"/>
          <w:b/>
          <w:bCs/>
          <w:sz w:val="24"/>
          <w:szCs w:val="24"/>
        </w:rPr>
      </w:pPr>
      <w:r w:rsidRPr="009D6258">
        <w:rPr>
          <w:rFonts w:ascii="Times New Roman" w:hAnsi="Times New Roman"/>
          <w:sz w:val="24"/>
          <w:szCs w:val="24"/>
        </w:rPr>
        <w:t xml:space="preserve">Ja paraugi tiek klīniski testēti, procesam jābūt dokumentētam un to lietotājam neatbilstības gadījumā jāveic darbības atbilstoši </w:t>
      </w:r>
      <w:proofErr w:type="spellStart"/>
      <w:r w:rsidRPr="009D6258">
        <w:rPr>
          <w:rFonts w:ascii="Times New Roman" w:hAnsi="Times New Roman"/>
          <w:sz w:val="24"/>
          <w:szCs w:val="24"/>
        </w:rPr>
        <w:t>Vigilances</w:t>
      </w:r>
      <w:proofErr w:type="spellEnd"/>
      <w:r w:rsidRPr="009D6258">
        <w:rPr>
          <w:rFonts w:ascii="Times New Roman" w:hAnsi="Times New Roman"/>
          <w:sz w:val="24"/>
          <w:szCs w:val="24"/>
        </w:rPr>
        <w:t xml:space="preserve"> procesam, </w:t>
      </w:r>
      <w:r w:rsidRPr="009D6258">
        <w:rPr>
          <w:rFonts w:ascii="Times New Roman" w:hAnsi="Times New Roman"/>
          <w:bCs/>
          <w:sz w:val="24"/>
          <w:szCs w:val="24"/>
        </w:rPr>
        <w:t xml:space="preserve">veicot atbilstošas darbības un aizpildot </w:t>
      </w:r>
      <w:r w:rsidRPr="009D6258">
        <w:rPr>
          <w:rFonts w:ascii="Times New Roman" w:hAnsi="Times New Roman"/>
          <w:sz w:val="24"/>
          <w:szCs w:val="24"/>
        </w:rPr>
        <w:t>atbilstošu dokumentu formu MIR PDF 7.3.1, vai jaunāku kas šobrīd ir aktuāla, lai ražotāji nepieciešamības gadījumā var veikt ražošanas uzlabojumus, novēršot vai mazinot negadījumu iespējamību nākotnē,</w:t>
      </w:r>
      <w:r w:rsidRPr="009D6258">
        <w:rPr>
          <w:rFonts w:ascii="Times New Roman" w:hAnsi="Times New Roman"/>
          <w:bCs/>
          <w:sz w:val="24"/>
          <w:szCs w:val="24"/>
        </w:rPr>
        <w:t xml:space="preserve"> </w:t>
      </w:r>
    </w:p>
    <w:p w14:paraId="4286FFCA" w14:textId="77777777" w:rsidR="009D6258" w:rsidRPr="009D6258" w:rsidRDefault="009D6258" w:rsidP="009D6258">
      <w:pPr>
        <w:pStyle w:val="ListParagraph"/>
        <w:tabs>
          <w:tab w:val="left" w:pos="1134"/>
        </w:tabs>
        <w:ind w:left="2160"/>
        <w:contextualSpacing w:val="0"/>
        <w:jc w:val="both"/>
        <w:outlineLvl w:val="2"/>
      </w:pPr>
    </w:p>
    <w:p w14:paraId="500FC67E" w14:textId="77777777" w:rsidR="009D6258" w:rsidRPr="009D6258" w:rsidRDefault="009D6258" w:rsidP="009D6258">
      <w:pPr>
        <w:pStyle w:val="ListParagraph"/>
        <w:tabs>
          <w:tab w:val="left" w:pos="1134"/>
        </w:tabs>
        <w:ind w:left="2160"/>
        <w:contextualSpacing w:val="0"/>
        <w:jc w:val="both"/>
        <w:outlineLvl w:val="2"/>
      </w:pPr>
      <w:hyperlink r:id="rId13" w:history="1">
        <w:r w:rsidRPr="009D6258">
          <w:rPr>
            <w:rStyle w:val="Hyperlink"/>
          </w:rPr>
          <w:t>https://www.zva.gov.lv/lv/veselibas-aprupes-specialistiem-un-iestadem/mediciniskas-ierices/vigilance</w:t>
        </w:r>
      </w:hyperlink>
    </w:p>
    <w:p w14:paraId="083EAF03" w14:textId="77777777" w:rsidR="009D6258" w:rsidRPr="009D6258" w:rsidRDefault="009D6258" w:rsidP="009D6258">
      <w:pPr>
        <w:pStyle w:val="ListParagraph"/>
        <w:tabs>
          <w:tab w:val="left" w:pos="1134"/>
        </w:tabs>
        <w:ind w:left="2160"/>
        <w:contextualSpacing w:val="0"/>
        <w:jc w:val="both"/>
        <w:outlineLvl w:val="2"/>
      </w:pPr>
      <w:hyperlink r:id="rId14" w:history="1">
        <w:r w:rsidRPr="009D6258">
          <w:rPr>
            <w:rStyle w:val="Hyperlink"/>
            <w:bCs/>
          </w:rPr>
          <w:t>https://health.ec.europa.eu/medical-devices-sector/new-regulations/guidance-mdcg-endorsed-documents-and-other-guidance/pmsv-reporting-forms_en</w:t>
        </w:r>
      </w:hyperlink>
    </w:p>
    <w:p w14:paraId="67CCB465" w14:textId="77777777" w:rsidR="009D6258" w:rsidRPr="009D6258" w:rsidRDefault="009D6258" w:rsidP="009D6258">
      <w:pPr>
        <w:spacing w:after="0" w:line="240" w:lineRule="auto"/>
        <w:jc w:val="both"/>
        <w:rPr>
          <w:rFonts w:ascii="Times New Roman" w:hAnsi="Times New Roman"/>
          <w:b/>
          <w:bCs/>
          <w:sz w:val="24"/>
          <w:szCs w:val="24"/>
          <w:u w:val="single"/>
        </w:rPr>
      </w:pPr>
      <w:r w:rsidRPr="009D6258">
        <w:rPr>
          <w:rFonts w:ascii="Times New Roman" w:hAnsi="Times New Roman"/>
          <w:b/>
          <w:bCs/>
          <w:sz w:val="24"/>
          <w:szCs w:val="24"/>
          <w:u w:val="single"/>
        </w:rPr>
        <w:t>Atbilde</w:t>
      </w:r>
    </w:p>
    <w:p w14:paraId="33316A46" w14:textId="77777777" w:rsidR="009D6258" w:rsidRPr="009D6258" w:rsidRDefault="009D6258" w:rsidP="009D6258">
      <w:pPr>
        <w:spacing w:after="0" w:line="240" w:lineRule="auto"/>
        <w:jc w:val="both"/>
        <w:rPr>
          <w:rFonts w:ascii="Times New Roman" w:hAnsi="Times New Roman"/>
          <w:sz w:val="24"/>
          <w:szCs w:val="24"/>
        </w:rPr>
      </w:pPr>
      <w:proofErr w:type="spellStart"/>
      <w:r w:rsidRPr="009D6258">
        <w:rPr>
          <w:rFonts w:ascii="Times New Roman" w:hAnsi="Times New Roman"/>
          <w:sz w:val="24"/>
          <w:szCs w:val="24"/>
        </w:rPr>
        <w:t>Vigilances</w:t>
      </w:r>
      <w:proofErr w:type="spellEnd"/>
      <w:r w:rsidRPr="009D6258">
        <w:rPr>
          <w:rFonts w:ascii="Times New Roman" w:hAnsi="Times New Roman"/>
          <w:sz w:val="24"/>
          <w:szCs w:val="24"/>
        </w:rPr>
        <w:t xml:space="preserve"> sistēmas mērķis ir (</w:t>
      </w:r>
      <w:hyperlink r:id="rId15" w:history="1">
        <w:r w:rsidRPr="009D6258">
          <w:rPr>
            <w:rFonts w:ascii="Times New Roman" w:hAnsi="Times New Roman"/>
            <w:sz w:val="24"/>
            <w:szCs w:val="24"/>
          </w:rPr>
          <w:t>https://www.zva.gov.lv/lv/veselibas-aprupes-specialistiem-un-iestadem/mediciniskas-ierices/vigilance</w:t>
        </w:r>
      </w:hyperlink>
      <w:r w:rsidRPr="009D6258">
        <w:rPr>
          <w:rFonts w:ascii="Times New Roman" w:hAnsi="Times New Roman"/>
          <w:sz w:val="24"/>
          <w:szCs w:val="24"/>
        </w:rPr>
        <w:t>):</w:t>
      </w:r>
    </w:p>
    <w:p w14:paraId="09C6C245" w14:textId="77777777" w:rsidR="009D6258" w:rsidRPr="009D6258" w:rsidRDefault="009D6258" w:rsidP="009D6258">
      <w:pPr>
        <w:pStyle w:val="ListParagraph"/>
        <w:numPr>
          <w:ilvl w:val="0"/>
          <w:numId w:val="5"/>
        </w:numPr>
        <w:tabs>
          <w:tab w:val="num" w:pos="720"/>
        </w:tabs>
        <w:jc w:val="both"/>
      </w:pPr>
      <w:r w:rsidRPr="009D6258">
        <w:t>nepieļaut negadījumu atkārtošanos;</w:t>
      </w:r>
    </w:p>
    <w:p w14:paraId="29178571" w14:textId="77777777" w:rsidR="009D6258" w:rsidRPr="009D6258" w:rsidRDefault="009D6258" w:rsidP="009D6258">
      <w:pPr>
        <w:pStyle w:val="ListParagraph"/>
        <w:numPr>
          <w:ilvl w:val="0"/>
          <w:numId w:val="5"/>
        </w:numPr>
        <w:tabs>
          <w:tab w:val="num" w:pos="720"/>
        </w:tabs>
        <w:jc w:val="both"/>
      </w:pPr>
      <w:r w:rsidRPr="009D6258">
        <w:t>aizsargāt pacientus, izmantojot medicīnisko ierīču lietotāju negadījumu ziņošanas sistēmu visās ES dalībvalstīs;</w:t>
      </w:r>
    </w:p>
    <w:p w14:paraId="0667189F" w14:textId="77777777" w:rsidR="009D6258" w:rsidRPr="009D6258" w:rsidRDefault="009D6258" w:rsidP="009D6258">
      <w:pPr>
        <w:pStyle w:val="ListParagraph"/>
        <w:numPr>
          <w:ilvl w:val="0"/>
          <w:numId w:val="5"/>
        </w:numPr>
        <w:tabs>
          <w:tab w:val="num" w:pos="720"/>
        </w:tabs>
        <w:jc w:val="both"/>
      </w:pPr>
      <w:r w:rsidRPr="009D6258">
        <w:t xml:space="preserve">nodrošināt dalībvalstīm iespēju vienlaikus atpazīt tirgū un lietošanā esošās neatbilstošās medicīniskās ierīces. </w:t>
      </w:r>
    </w:p>
    <w:p w14:paraId="3C2833B3" w14:textId="038A738B"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 xml:space="preserve">Šajā gadījumā paraugu testēšanai nav saistības ar </w:t>
      </w:r>
      <w:proofErr w:type="spellStart"/>
      <w:r w:rsidRPr="009D6258">
        <w:rPr>
          <w:rFonts w:ascii="Times New Roman" w:hAnsi="Times New Roman"/>
          <w:sz w:val="24"/>
          <w:szCs w:val="24"/>
        </w:rPr>
        <w:t>vigilanci</w:t>
      </w:r>
      <w:proofErr w:type="spellEnd"/>
      <w:r w:rsidRPr="009D6258">
        <w:rPr>
          <w:rFonts w:ascii="Times New Roman" w:hAnsi="Times New Roman"/>
          <w:sz w:val="24"/>
          <w:szCs w:val="24"/>
        </w:rPr>
        <w:t xml:space="preserve">. Paraugi tiek pieprasīti, lai pārliecinātos, ka piedāvātā prece ir atbilstoša </w:t>
      </w:r>
      <w:r>
        <w:rPr>
          <w:rFonts w:ascii="Times New Roman" w:hAnsi="Times New Roman"/>
          <w:sz w:val="24"/>
          <w:szCs w:val="24"/>
        </w:rPr>
        <w:t xml:space="preserve">tehniskās specifikācijas un </w:t>
      </w:r>
      <w:r w:rsidRPr="009D6258">
        <w:rPr>
          <w:rFonts w:ascii="Times New Roman" w:hAnsi="Times New Roman"/>
          <w:sz w:val="24"/>
          <w:szCs w:val="24"/>
        </w:rPr>
        <w:t>PSKUS klīniskā personāla vajadzībām. Ja būs nepieciešams pārbaudīt paraugus, tiks ievērotas normatīvo aktu prasības.</w:t>
      </w:r>
    </w:p>
    <w:p w14:paraId="6D542CBF" w14:textId="77777777" w:rsidR="009D6258" w:rsidRPr="009D6258" w:rsidRDefault="009D6258" w:rsidP="009D6258">
      <w:pPr>
        <w:spacing w:after="0" w:line="240" w:lineRule="auto"/>
        <w:jc w:val="both"/>
        <w:rPr>
          <w:rFonts w:ascii="Times New Roman" w:hAnsi="Times New Roman"/>
          <w:sz w:val="24"/>
          <w:szCs w:val="24"/>
        </w:rPr>
      </w:pPr>
    </w:p>
    <w:p w14:paraId="5145899B" w14:textId="77777777" w:rsidR="009D6258" w:rsidRPr="009D6258" w:rsidRDefault="009D6258" w:rsidP="009D6258">
      <w:pPr>
        <w:pStyle w:val="ListParagraph"/>
        <w:numPr>
          <w:ilvl w:val="0"/>
          <w:numId w:val="4"/>
        </w:numPr>
        <w:ind w:left="426" w:hanging="426"/>
        <w:jc w:val="both"/>
        <w:rPr>
          <w:b/>
          <w:bCs/>
          <w:u w:val="single"/>
        </w:rPr>
      </w:pPr>
      <w:r w:rsidRPr="009D6258">
        <w:rPr>
          <w:b/>
          <w:bCs/>
          <w:u w:val="single"/>
        </w:rPr>
        <w:t>Jautājums</w:t>
      </w:r>
    </w:p>
    <w:p w14:paraId="73BCE0A3" w14:textId="4AAD53C9"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 xml:space="preserve">Lai nodrošinātu vienlīdzīgas iespējas pretendentiem, aicinām uzreiz ( nevis izvērtēšanas procesā) prasīt preces paraugus, kuriem iepirkuma procesā kvalitātes pārbaude ir ļoti nepieciešama, un attiecināt to uz no visiem pretendentiem.  Tikai īpašos gadījumos pieprasīt no visiem pretendentiem papildus paraugus citās pozīcijās, pagarinot preces parauga iesniegšanu </w:t>
      </w:r>
      <w:r w:rsidRPr="009D6258">
        <w:rPr>
          <w:rFonts w:ascii="Times New Roman" w:hAnsi="Times New Roman"/>
          <w:sz w:val="24"/>
          <w:szCs w:val="24"/>
          <w:u w:val="single"/>
        </w:rPr>
        <w:t>līdz 14 kalendārām</w:t>
      </w:r>
      <w:r w:rsidRPr="009D6258">
        <w:rPr>
          <w:rFonts w:ascii="Times New Roman" w:hAnsi="Times New Roman"/>
          <w:sz w:val="24"/>
          <w:szCs w:val="24"/>
        </w:rPr>
        <w:t xml:space="preserve"> </w:t>
      </w:r>
      <w:r w:rsidRPr="009D6258">
        <w:rPr>
          <w:rFonts w:ascii="Times New Roman" w:hAnsi="Times New Roman"/>
          <w:sz w:val="24"/>
          <w:szCs w:val="24"/>
          <w:u w:val="single"/>
        </w:rPr>
        <w:t>dienām. P</w:t>
      </w:r>
      <w:r w:rsidRPr="009D6258">
        <w:rPr>
          <w:rFonts w:ascii="Times New Roman" w:hAnsi="Times New Roman"/>
          <w:sz w:val="24"/>
          <w:szCs w:val="24"/>
        </w:rPr>
        <w:t xml:space="preserve">reces paraugs var nebūt ražotāja noliktavā, vai arī parauga transportēšanas laiks var būt ilgāks par nolikumā minēto termiņu. </w:t>
      </w:r>
    </w:p>
    <w:p w14:paraId="3002CB8C" w14:textId="77777777" w:rsidR="009D6258" w:rsidRPr="009D6258" w:rsidRDefault="009D6258" w:rsidP="009D6258">
      <w:pPr>
        <w:spacing w:after="0" w:line="240" w:lineRule="auto"/>
        <w:jc w:val="both"/>
        <w:rPr>
          <w:rFonts w:ascii="Times New Roman" w:hAnsi="Times New Roman"/>
          <w:sz w:val="24"/>
          <w:szCs w:val="24"/>
        </w:rPr>
      </w:pPr>
    </w:p>
    <w:p w14:paraId="764776EC" w14:textId="77777777" w:rsidR="009D6258" w:rsidRPr="009D6258" w:rsidRDefault="009D6258" w:rsidP="009D6258">
      <w:pPr>
        <w:spacing w:after="0" w:line="240" w:lineRule="auto"/>
        <w:jc w:val="both"/>
        <w:rPr>
          <w:rFonts w:ascii="Times New Roman" w:hAnsi="Times New Roman"/>
          <w:b/>
          <w:bCs/>
          <w:sz w:val="24"/>
          <w:szCs w:val="24"/>
          <w:u w:val="single"/>
        </w:rPr>
      </w:pPr>
      <w:r w:rsidRPr="009D6258">
        <w:rPr>
          <w:rFonts w:ascii="Times New Roman" w:hAnsi="Times New Roman"/>
          <w:b/>
          <w:bCs/>
          <w:sz w:val="24"/>
          <w:szCs w:val="24"/>
          <w:u w:val="single"/>
        </w:rPr>
        <w:t>Atbilde</w:t>
      </w:r>
    </w:p>
    <w:p w14:paraId="2EAA3D5D" w14:textId="77777777" w:rsidR="009D6258" w:rsidRPr="009D6258" w:rsidRDefault="009D6258" w:rsidP="009D6258">
      <w:pPr>
        <w:spacing w:after="0" w:line="240" w:lineRule="auto"/>
        <w:jc w:val="both"/>
        <w:rPr>
          <w:rFonts w:ascii="Times New Roman" w:hAnsi="Times New Roman"/>
          <w:sz w:val="24"/>
          <w:szCs w:val="24"/>
        </w:rPr>
      </w:pPr>
      <w:r w:rsidRPr="009D6258">
        <w:rPr>
          <w:rFonts w:ascii="Times New Roman" w:hAnsi="Times New Roman"/>
          <w:sz w:val="24"/>
          <w:szCs w:val="24"/>
        </w:rPr>
        <w:t xml:space="preserve">Paraugus iesniedz pēc nepieciešamības, Komisijas ieskatā 7 kalendārās dienas paraugu iesniegšanai ir pietiekami. Ja Pretendents konstatē, ka preces paraugu iesniegšanai nepieciešamas vairāk kā 7 kalendārās dienas, Pretendentam ir iespēja lūgt Komisiju pagarināt iesniegšanas termiņu. </w:t>
      </w:r>
    </w:p>
    <w:p w14:paraId="5400D58D" w14:textId="77777777" w:rsidR="009D6258" w:rsidRPr="009D6258" w:rsidRDefault="009D6258" w:rsidP="009D6258">
      <w:pPr>
        <w:spacing w:after="0" w:line="240" w:lineRule="auto"/>
        <w:jc w:val="both"/>
        <w:rPr>
          <w:rFonts w:ascii="Times New Roman" w:hAnsi="Times New Roman"/>
          <w:sz w:val="24"/>
          <w:szCs w:val="24"/>
        </w:rPr>
      </w:pPr>
    </w:p>
    <w:bookmarkEnd w:id="0"/>
    <w:p w14:paraId="3F0D67FA" w14:textId="77777777" w:rsidR="009D6258" w:rsidRPr="009D6258" w:rsidRDefault="009D6258" w:rsidP="009D6258">
      <w:pPr>
        <w:spacing w:after="0" w:line="240" w:lineRule="auto"/>
        <w:jc w:val="both"/>
        <w:rPr>
          <w:rFonts w:ascii="Times New Roman" w:hAnsi="Times New Roman"/>
          <w:sz w:val="24"/>
          <w:szCs w:val="24"/>
        </w:rPr>
      </w:pPr>
    </w:p>
    <w:p w14:paraId="723FB5B2" w14:textId="77777777" w:rsidR="00076B08" w:rsidRPr="009D6258" w:rsidRDefault="00076B08" w:rsidP="00316EED">
      <w:pPr>
        <w:spacing w:after="0" w:line="240" w:lineRule="auto"/>
        <w:contextualSpacing/>
        <w:jc w:val="both"/>
        <w:rPr>
          <w:rFonts w:ascii="Times New Roman" w:eastAsia="Times New Roman" w:hAnsi="Times New Roman"/>
          <w:b/>
          <w:bCs/>
          <w:sz w:val="24"/>
          <w:szCs w:val="24"/>
        </w:rPr>
      </w:pPr>
    </w:p>
    <w:sectPr w:rsidR="00076B08" w:rsidRPr="009D6258" w:rsidSect="00DF57FC">
      <w:headerReference w:type="default" r:id="rId16"/>
      <w:footerReference w:type="default" r:id="rId17"/>
      <w:headerReference w:type="first" r:id="rId18"/>
      <w:footerReference w:type="first" r:id="rId19"/>
      <w:pgSz w:w="11906" w:h="16838" w:code="9"/>
      <w:pgMar w:top="227" w:right="851" w:bottom="397" w:left="1701" w:header="680" w:footer="39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44933" w14:textId="77777777" w:rsidR="009D139D" w:rsidRDefault="009D139D">
      <w:pPr>
        <w:spacing w:after="0" w:line="240" w:lineRule="auto"/>
      </w:pPr>
      <w:r>
        <w:separator/>
      </w:r>
    </w:p>
  </w:endnote>
  <w:endnote w:type="continuationSeparator" w:id="0">
    <w:p w14:paraId="677DC5DC" w14:textId="77777777" w:rsidR="009D139D" w:rsidRDefault="009D1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ova Light">
    <w:charset w:val="00"/>
    <w:family w:val="swiss"/>
    <w:pitch w:val="variable"/>
    <w:sig w:usb0="0000028F" w:usb1="00000002"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98BF9" w14:textId="77777777" w:rsidR="00BB6383" w:rsidRDefault="009D139D" w:rsidP="00BB6383">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54"/>
      </w:tabs>
      <w:suppressAutoHyphens w:val="0"/>
      <w:autoSpaceDN/>
      <w:spacing w:after="0" w:line="240" w:lineRule="auto"/>
      <w:jc w:val="center"/>
      <w:textAlignment w:val="auto"/>
    </w:pPr>
    <w:r>
      <w:rPr>
        <w:rFonts w:ascii="Times New Roman" w:eastAsia="Times New Roman" w:hAnsi="Times New Roman"/>
        <w:i/>
        <w:sz w:val="24"/>
        <w:szCs w:val="24"/>
      </w:rPr>
      <w:t xml:space="preserve">   </w:t>
    </w:r>
    <w:r>
      <w:rPr>
        <w:rFonts w:ascii="Times New Roman" w:eastAsia="Times New Roman" w:hAnsi="Times New Roman"/>
        <w:i/>
        <w:sz w:val="24"/>
        <w:szCs w:val="24"/>
      </w:rPr>
      <w:t>*</w:t>
    </w:r>
    <w:r w:rsidRPr="00EB6D5E">
      <w:rPr>
        <w:rFonts w:ascii="Times New Roman" w:eastAsia="Times New Roman" w:hAnsi="Times New Roman"/>
        <w:i/>
        <w:sz w:val="24"/>
        <w:szCs w:val="24"/>
      </w:rPr>
      <w:t>Dokuments parakstīts ar drošu elektronisko parakstu un satur laika zīmogu</w:t>
    </w:r>
    <w:r>
      <w:rPr>
        <w:rFonts w:ascii="Times New Roman" w:eastAsia="Times New Roman" w:hAnsi="Times New Roman"/>
        <w:i/>
        <w:sz w:val="24"/>
        <w:szCs w:val="24"/>
      </w:rPr>
      <w:t xml:space="preserve">                        </w:t>
    </w:r>
    <w:r w:rsidRPr="00264AC7">
      <w:rPr>
        <w:rFonts w:ascii="Times New Roman" w:eastAsia="Times New Roman" w:hAnsi="Times New Roman"/>
        <w:iCs/>
        <w:sz w:val="24"/>
        <w:szCs w:val="24"/>
      </w:rPr>
      <w:fldChar w:fldCharType="begin"/>
    </w:r>
    <w:r w:rsidRPr="00264AC7">
      <w:rPr>
        <w:rFonts w:ascii="Times New Roman" w:eastAsia="Times New Roman" w:hAnsi="Times New Roman"/>
        <w:iCs/>
        <w:sz w:val="24"/>
        <w:szCs w:val="24"/>
      </w:rPr>
      <w:instrText xml:space="preserve"> PAGE   \* MERGEFORMAT </w:instrText>
    </w:r>
    <w:r w:rsidRPr="00264AC7">
      <w:rPr>
        <w:rFonts w:ascii="Times New Roman" w:eastAsia="Times New Roman" w:hAnsi="Times New Roman"/>
        <w:iCs/>
        <w:sz w:val="24"/>
        <w:szCs w:val="24"/>
      </w:rPr>
      <w:fldChar w:fldCharType="separate"/>
    </w:r>
    <w:r>
      <w:rPr>
        <w:rFonts w:ascii="Times New Roman" w:eastAsia="Times New Roman" w:hAnsi="Times New Roman"/>
        <w:iCs/>
        <w:sz w:val="24"/>
        <w:szCs w:val="24"/>
      </w:rPr>
      <w:t>3</w:t>
    </w:r>
    <w:r w:rsidRPr="00264AC7">
      <w:rPr>
        <w:rFonts w:ascii="Times New Roman" w:eastAsia="Times New Roman" w:hAnsi="Times New Roman"/>
        <w:iCs/>
        <w:noProof/>
        <w:sz w:val="24"/>
        <w:szCs w:val="24"/>
      </w:rPr>
      <w:fldChar w:fldCharType="end"/>
    </w:r>
  </w:p>
  <w:p w14:paraId="186B9A3D" w14:textId="77777777" w:rsidR="00EB6D5E" w:rsidRPr="00EB6D5E" w:rsidRDefault="009D139D" w:rsidP="00264AC7">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54"/>
      </w:tabs>
      <w:suppressAutoHyphens w:val="0"/>
      <w:autoSpaceDN/>
      <w:spacing w:after="0" w:line="240" w:lineRule="auto"/>
      <w:textAlignment w:val="auto"/>
      <w:rPr>
        <w:rFonts w:ascii="Times New Roman" w:eastAsia="Times New Roman" w:hAnsi="Times New Roman"/>
        <w:iCs/>
        <w:sz w:val="24"/>
        <w:szCs w:val="24"/>
      </w:rPr>
    </w:pPr>
    <w:r>
      <w:tab/>
    </w:r>
    <w:r w:rsidR="00264AC7">
      <w:rPr>
        <w:rFonts w:ascii="Times New Roman" w:eastAsia="Times New Roman" w:hAnsi="Times New Roman"/>
        <w:i/>
        <w:sz w:val="24"/>
        <w:szCs w:val="24"/>
      </w:rPr>
      <w:tab/>
    </w:r>
  </w:p>
  <w:p w14:paraId="7308D446" w14:textId="77777777" w:rsidR="00EB6D5E" w:rsidRDefault="00EB6D5E" w:rsidP="00EB6D5E">
    <w:pPr>
      <w:pStyle w:val="Footer"/>
      <w:tabs>
        <w:tab w:val="clear" w:pos="4153"/>
        <w:tab w:val="clear" w:pos="8306"/>
        <w:tab w:val="left" w:pos="285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F853" w14:textId="77777777" w:rsidR="00EB6D5E" w:rsidRPr="00EB6D5E" w:rsidRDefault="009D139D" w:rsidP="00EB6D5E">
    <w:pPr>
      <w:suppressAutoHyphens w:val="0"/>
      <w:autoSpaceDN/>
      <w:spacing w:after="0" w:line="240" w:lineRule="auto"/>
      <w:jc w:val="center"/>
      <w:textAlignment w:val="auto"/>
      <w:rPr>
        <w:rFonts w:ascii="Times New Roman" w:eastAsia="Times New Roman" w:hAnsi="Times New Roman"/>
        <w:i/>
        <w:sz w:val="24"/>
        <w:szCs w:val="24"/>
      </w:rPr>
    </w:pPr>
    <w:r w:rsidRPr="00EB6D5E">
      <w:rPr>
        <w:rFonts w:ascii="Times New Roman" w:eastAsia="Times New Roman" w:hAnsi="Times New Roman"/>
        <w:i/>
        <w:sz w:val="24"/>
        <w:szCs w:val="24"/>
      </w:rPr>
      <w:t>Dokuments parakstīts ar drošu elektronisko parakstu un satur laika zīmogu</w:t>
    </w:r>
  </w:p>
  <w:p w14:paraId="691B315C" w14:textId="77777777" w:rsidR="00EB6D5E" w:rsidRPr="00EB6D5E" w:rsidRDefault="00EB6D5E" w:rsidP="00EB6D5E">
    <w:pPr>
      <w:suppressAutoHyphens w:val="0"/>
      <w:autoSpaceDN/>
      <w:spacing w:after="0" w:line="240" w:lineRule="auto"/>
      <w:jc w:val="center"/>
      <w:textAlignment w:val="auto"/>
      <w:rPr>
        <w:rFonts w:ascii="Times New Roman" w:eastAsia="Times New Roman" w:hAnsi="Times New Roman"/>
        <w:i/>
        <w:sz w:val="24"/>
        <w:szCs w:val="24"/>
      </w:rPr>
    </w:pPr>
  </w:p>
  <w:tbl>
    <w:tblPr>
      <w:tblW w:w="9211" w:type="dxa"/>
      <w:tblLook w:val="04A0" w:firstRow="1" w:lastRow="0" w:firstColumn="1" w:lastColumn="0" w:noHBand="0" w:noVBand="1"/>
    </w:tblPr>
    <w:tblGrid>
      <w:gridCol w:w="3436"/>
      <w:gridCol w:w="2551"/>
      <w:gridCol w:w="1701"/>
      <w:gridCol w:w="1523"/>
    </w:tblGrid>
    <w:tr w:rsidR="00B421C9" w14:paraId="4915FA67" w14:textId="77777777" w:rsidTr="00935F96">
      <w:tc>
        <w:tcPr>
          <w:tcW w:w="3436" w:type="dxa"/>
        </w:tcPr>
        <w:p w14:paraId="534192E0" w14:textId="77777777" w:rsidR="00EB6D5E" w:rsidRPr="00EB6D5E" w:rsidRDefault="009D139D" w:rsidP="00EB6D5E">
          <w:pPr>
            <w:spacing w:after="0" w:line="240" w:lineRule="auto"/>
            <w:ind w:left="-109" w:firstLine="109"/>
            <w:rPr>
              <w:rFonts w:ascii="Arial Nova Light" w:hAnsi="Arial Nova Light"/>
              <w:sz w:val="12"/>
              <w:szCs w:val="12"/>
            </w:rPr>
          </w:pPr>
          <w:r w:rsidRPr="00EB6D5E">
            <w:rPr>
              <w:rFonts w:ascii="Arial Nova Light" w:hAnsi="Arial Nova Light"/>
              <w:sz w:val="12"/>
              <w:szCs w:val="12"/>
            </w:rPr>
            <w:t xml:space="preserve">VSIA “Paula Stradiņa Klīniskā universitātes slimnīca” </w:t>
          </w:r>
        </w:p>
        <w:p w14:paraId="15AC9044" w14:textId="77777777" w:rsidR="00EB6D5E" w:rsidRPr="00EB6D5E" w:rsidRDefault="009D139D" w:rsidP="00EB6D5E">
          <w:pPr>
            <w:spacing w:after="0" w:line="240" w:lineRule="auto"/>
            <w:rPr>
              <w:rFonts w:ascii="Arial Nova Light" w:hAnsi="Arial Nova Light"/>
              <w:sz w:val="12"/>
              <w:szCs w:val="12"/>
            </w:rPr>
          </w:pPr>
          <w:r w:rsidRPr="00EB6D5E">
            <w:rPr>
              <w:rFonts w:ascii="Arial Nova Light" w:hAnsi="Arial Nova Light"/>
              <w:sz w:val="12"/>
              <w:szCs w:val="12"/>
            </w:rPr>
            <w:t>Reģ.Nr.40003457109</w:t>
          </w:r>
        </w:p>
        <w:p w14:paraId="182741F8" w14:textId="77777777" w:rsidR="00EB6D5E" w:rsidRPr="00EB6D5E" w:rsidRDefault="009D139D" w:rsidP="00EB6D5E">
          <w:pPr>
            <w:spacing w:after="0" w:line="240" w:lineRule="auto"/>
            <w:rPr>
              <w:rFonts w:ascii="Arial Nova Light" w:hAnsi="Arial Nova Light"/>
              <w:sz w:val="12"/>
              <w:szCs w:val="12"/>
            </w:rPr>
          </w:pPr>
          <w:r w:rsidRPr="00EB6D5E">
            <w:rPr>
              <w:rFonts w:ascii="Arial Nova Light" w:hAnsi="Arial Nova Light"/>
              <w:sz w:val="12"/>
              <w:szCs w:val="12"/>
            </w:rPr>
            <w:t>PVN reģ.Nr.LV 40003457109</w:t>
          </w:r>
        </w:p>
        <w:p w14:paraId="351A8296" w14:textId="77777777" w:rsidR="00EB6D5E" w:rsidRPr="00EB6D5E" w:rsidRDefault="009D139D" w:rsidP="00EB6D5E">
          <w:pPr>
            <w:spacing w:after="0" w:line="240" w:lineRule="auto"/>
            <w:rPr>
              <w:rFonts w:ascii="Arial Nova Light" w:hAnsi="Arial Nova Light"/>
              <w:sz w:val="12"/>
              <w:szCs w:val="12"/>
            </w:rPr>
          </w:pPr>
          <w:r w:rsidRPr="00EB6D5E">
            <w:rPr>
              <w:rFonts w:ascii="Arial Nova Light" w:hAnsi="Arial Nova Light"/>
              <w:sz w:val="12"/>
              <w:szCs w:val="12"/>
            </w:rPr>
            <w:t>Juridiskā adrese: Pilsoņu iela 13, Rīga, LV-1002, Latvija</w:t>
          </w:r>
        </w:p>
        <w:p w14:paraId="551096DF" w14:textId="77777777" w:rsidR="00EB6D5E" w:rsidRPr="00EB6D5E" w:rsidRDefault="00EB6D5E" w:rsidP="00EB6D5E">
          <w:pPr>
            <w:tabs>
              <w:tab w:val="center" w:pos="4153"/>
              <w:tab w:val="right" w:pos="8306"/>
            </w:tabs>
            <w:spacing w:after="0" w:line="240" w:lineRule="auto"/>
            <w:rPr>
              <w:sz w:val="12"/>
              <w:szCs w:val="12"/>
            </w:rPr>
          </w:pPr>
        </w:p>
      </w:tc>
      <w:tc>
        <w:tcPr>
          <w:tcW w:w="2551" w:type="dxa"/>
        </w:tcPr>
        <w:p w14:paraId="7878D5CE" w14:textId="77777777" w:rsidR="00EB6D5E" w:rsidRPr="00EB6D5E" w:rsidRDefault="009D139D" w:rsidP="00EB6D5E">
          <w:pPr>
            <w:tabs>
              <w:tab w:val="center" w:pos="4153"/>
              <w:tab w:val="right" w:pos="8306"/>
            </w:tabs>
            <w:spacing w:after="0" w:line="240" w:lineRule="auto"/>
            <w:rPr>
              <w:rFonts w:ascii="Arial Nova Light" w:hAnsi="Arial Nova Light"/>
              <w:sz w:val="12"/>
              <w:szCs w:val="12"/>
            </w:rPr>
          </w:pPr>
          <w:r w:rsidRPr="00EB6D5E">
            <w:rPr>
              <w:rFonts w:ascii="Arial Nova Light" w:hAnsi="Arial Nova Light"/>
              <w:sz w:val="12"/>
              <w:szCs w:val="12"/>
            </w:rPr>
            <w:t>Banka: SEB, Āgenskalna filiāle, UNLALV2X</w:t>
          </w:r>
        </w:p>
        <w:p w14:paraId="4EAF3626" w14:textId="77777777" w:rsidR="00EB6D5E" w:rsidRPr="00EB6D5E" w:rsidRDefault="009D139D" w:rsidP="00EB6D5E">
          <w:pPr>
            <w:tabs>
              <w:tab w:val="center" w:pos="4153"/>
              <w:tab w:val="right" w:pos="8306"/>
            </w:tabs>
            <w:spacing w:after="0" w:line="240" w:lineRule="auto"/>
            <w:rPr>
              <w:rFonts w:ascii="Arial Nova Light" w:hAnsi="Arial Nova Light"/>
              <w:sz w:val="12"/>
              <w:szCs w:val="12"/>
            </w:rPr>
          </w:pPr>
          <w:r w:rsidRPr="00EB6D5E">
            <w:rPr>
              <w:rFonts w:ascii="Arial Nova Light" w:hAnsi="Arial Nova Light"/>
              <w:sz w:val="12"/>
              <w:szCs w:val="12"/>
            </w:rPr>
            <w:t>Konts: LV93UNLA0003029467144</w:t>
          </w:r>
        </w:p>
        <w:p w14:paraId="32BD2274" w14:textId="77777777" w:rsidR="00EB6D5E" w:rsidRPr="00EB6D5E" w:rsidRDefault="009D139D" w:rsidP="00EB6D5E">
          <w:pPr>
            <w:tabs>
              <w:tab w:val="center" w:pos="4153"/>
              <w:tab w:val="right" w:pos="8306"/>
            </w:tabs>
            <w:spacing w:after="0" w:line="240" w:lineRule="auto"/>
            <w:rPr>
              <w:rFonts w:ascii="Arial Nova Light" w:hAnsi="Arial Nova Light"/>
              <w:sz w:val="12"/>
              <w:szCs w:val="12"/>
            </w:rPr>
          </w:pPr>
          <w:r w:rsidRPr="00EB6D5E">
            <w:rPr>
              <w:rFonts w:ascii="Arial Nova Light" w:hAnsi="Arial Nova Light"/>
              <w:sz w:val="12"/>
              <w:szCs w:val="12"/>
            </w:rPr>
            <w:t>Banka: SWEDBANK AS, HABALV22</w:t>
          </w:r>
        </w:p>
        <w:p w14:paraId="1CDF7D08" w14:textId="77777777" w:rsidR="00EB6D5E" w:rsidRPr="00EB6D5E" w:rsidRDefault="009D139D" w:rsidP="00EB6D5E">
          <w:pPr>
            <w:tabs>
              <w:tab w:val="center" w:pos="4153"/>
              <w:tab w:val="right" w:pos="8306"/>
            </w:tabs>
            <w:spacing w:after="0" w:line="240" w:lineRule="auto"/>
            <w:rPr>
              <w:rFonts w:ascii="Arial Nova Light" w:hAnsi="Arial Nova Light"/>
              <w:sz w:val="12"/>
              <w:szCs w:val="12"/>
            </w:rPr>
          </w:pPr>
          <w:r w:rsidRPr="00EB6D5E">
            <w:rPr>
              <w:rFonts w:ascii="Arial Nova Light" w:hAnsi="Arial Nova Light"/>
              <w:sz w:val="12"/>
              <w:szCs w:val="12"/>
            </w:rPr>
            <w:t>Konts: LV74HABA0551027673367</w:t>
          </w:r>
        </w:p>
      </w:tc>
      <w:tc>
        <w:tcPr>
          <w:tcW w:w="1701" w:type="dxa"/>
        </w:tcPr>
        <w:p w14:paraId="44CC5AEC" w14:textId="77777777" w:rsidR="00EB6D5E" w:rsidRPr="00EB6D5E" w:rsidRDefault="009D139D" w:rsidP="00EB6D5E">
          <w:pPr>
            <w:tabs>
              <w:tab w:val="center" w:pos="4153"/>
              <w:tab w:val="right" w:pos="8306"/>
            </w:tabs>
            <w:spacing w:after="0" w:line="240" w:lineRule="auto"/>
            <w:rPr>
              <w:rFonts w:ascii="Arial Nova Light" w:hAnsi="Arial Nova Light"/>
              <w:sz w:val="12"/>
              <w:szCs w:val="12"/>
            </w:rPr>
          </w:pPr>
          <w:r w:rsidRPr="00EB6D5E">
            <w:rPr>
              <w:rFonts w:ascii="Arial Nova Light" w:hAnsi="Arial Nova Light"/>
              <w:sz w:val="12"/>
              <w:szCs w:val="12"/>
            </w:rPr>
            <w:t>Tālrunis: +371 67069601</w:t>
          </w:r>
        </w:p>
        <w:p w14:paraId="6EC8E05B" w14:textId="77777777" w:rsidR="00EB6D5E" w:rsidRPr="00EB6D5E" w:rsidRDefault="009D139D" w:rsidP="00EB6D5E">
          <w:pPr>
            <w:tabs>
              <w:tab w:val="center" w:pos="4153"/>
              <w:tab w:val="right" w:pos="8306"/>
            </w:tabs>
            <w:spacing w:after="0" w:line="240" w:lineRule="auto"/>
            <w:rPr>
              <w:rFonts w:ascii="Arial Nova Light" w:hAnsi="Arial Nova Light"/>
              <w:sz w:val="12"/>
              <w:szCs w:val="12"/>
            </w:rPr>
          </w:pPr>
          <w:r w:rsidRPr="00EB6D5E">
            <w:rPr>
              <w:rFonts w:ascii="Arial Nova Light" w:hAnsi="Arial Nova Light"/>
              <w:sz w:val="12"/>
              <w:szCs w:val="12"/>
            </w:rPr>
            <w:t xml:space="preserve">e-pasts: </w:t>
          </w:r>
          <w:hyperlink r:id="rId1" w:history="1">
            <w:r w:rsidR="00EB6D5E" w:rsidRPr="00EB6D5E">
              <w:rPr>
                <w:rFonts w:ascii="Arial Nova Light" w:hAnsi="Arial Nova Light"/>
                <w:color w:val="0563C1"/>
                <w:sz w:val="12"/>
                <w:szCs w:val="12"/>
                <w:u w:val="single"/>
              </w:rPr>
              <w:t>stradini@stradini.lv</w:t>
            </w:r>
          </w:hyperlink>
        </w:p>
        <w:p w14:paraId="2B53EDFC" w14:textId="77777777" w:rsidR="00EB6D5E" w:rsidRPr="00EB6D5E" w:rsidRDefault="009D139D" w:rsidP="00EB6D5E">
          <w:pPr>
            <w:tabs>
              <w:tab w:val="center" w:pos="4153"/>
              <w:tab w:val="right" w:pos="8306"/>
            </w:tabs>
            <w:spacing w:after="0" w:line="240" w:lineRule="auto"/>
            <w:rPr>
              <w:rFonts w:ascii="Arial Nova Light" w:hAnsi="Arial Nova Light"/>
              <w:sz w:val="12"/>
              <w:szCs w:val="12"/>
            </w:rPr>
          </w:pPr>
          <w:r w:rsidRPr="00EB6D5E">
            <w:rPr>
              <w:rFonts w:ascii="Arial Nova Light" w:hAnsi="Arial Nova Light"/>
              <w:sz w:val="12"/>
              <w:szCs w:val="12"/>
            </w:rPr>
            <w:t>stradini.lv</w:t>
          </w:r>
        </w:p>
      </w:tc>
      <w:tc>
        <w:tcPr>
          <w:tcW w:w="1523" w:type="dxa"/>
        </w:tcPr>
        <w:p w14:paraId="4DDD97D1" w14:textId="77777777" w:rsidR="00EB6D5E" w:rsidRPr="00EB6D5E" w:rsidRDefault="00EB6D5E" w:rsidP="00857D63">
          <w:pPr>
            <w:tabs>
              <w:tab w:val="center" w:pos="4153"/>
              <w:tab w:val="right" w:pos="8306"/>
            </w:tabs>
            <w:spacing w:after="0" w:line="240" w:lineRule="auto"/>
            <w:ind w:right="142"/>
            <w:jc w:val="right"/>
            <w:rPr>
              <w:rFonts w:ascii="Times New Roman" w:hAnsi="Times New Roman"/>
            </w:rPr>
          </w:pPr>
        </w:p>
      </w:tc>
    </w:tr>
  </w:tbl>
  <w:p w14:paraId="6B341436" w14:textId="77777777" w:rsidR="00EB6D5E" w:rsidRDefault="00EB6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E570" w14:textId="77777777" w:rsidR="009D139D" w:rsidRDefault="009D139D">
      <w:pPr>
        <w:spacing w:after="0" w:line="240" w:lineRule="auto"/>
      </w:pPr>
      <w:r>
        <w:separator/>
      </w:r>
    </w:p>
  </w:footnote>
  <w:footnote w:type="continuationSeparator" w:id="0">
    <w:p w14:paraId="3ABED3F5" w14:textId="77777777" w:rsidR="009D139D" w:rsidRDefault="009D13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3391" w14:textId="77777777" w:rsidR="00F15CE2" w:rsidRDefault="009D139D" w:rsidP="00F15CE2">
    <w:pPr>
      <w:pStyle w:val="Header"/>
      <w:tabs>
        <w:tab w:val="clear" w:pos="8306"/>
        <w:tab w:val="left" w:pos="635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3F153" w14:textId="77777777" w:rsidR="00EB6D5E" w:rsidRDefault="009D139D" w:rsidP="00C05A0F">
    <w:pPr>
      <w:pStyle w:val="Header"/>
      <w:ind w:left="-426"/>
    </w:pPr>
    <w:r>
      <w:rPr>
        <w:noProof/>
      </w:rPr>
      <mc:AlternateContent>
        <mc:Choice Requires="wpc">
          <w:drawing>
            <wp:inline distT="0" distB="0" distL="0" distR="0" wp14:anchorId="7CDDE0D3" wp14:editId="670708E5">
              <wp:extent cx="3891280" cy="1375379"/>
              <wp:effectExtent l="0" t="0" r="0" b="0"/>
              <wp:docPr id="4"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854932" cy="1337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inline>
          </w:drawing>
        </mc:Choice>
        <mc:Fallback>
          <w:pict>
            <v:group id="Canvas 4" o:spid="_x0000_i2049" editas="canvas" style="width:306.4pt;height:108.3pt;mso-position-horizontal-relative:char;mso-position-vertical-relative:line" coordsize="38912,137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38912;height:13747;mso-wrap-style:square;position:absolute;visibility:visible">
                <v:fill o:detectmouseclick="t"/>
              </v:shape>
              <v:shape id="Picture 4" o:spid="_x0000_s2051" type="#_x0000_t75" style="width:38549;height:13375;mso-wrap-style:square;position:absolute;visibility:visible" o:preferrelative="f">
                <v:imagedata r:id="rId2" o:title=""/>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FD35B13"/>
    <w:multiLevelType w:val="multilevel"/>
    <w:tmpl w:val="E350089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53B74C38"/>
    <w:multiLevelType w:val="hybridMultilevel"/>
    <w:tmpl w:val="8FD20E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483622B"/>
    <w:multiLevelType w:val="hybridMultilevel"/>
    <w:tmpl w:val="D4A8CEC6"/>
    <w:lvl w:ilvl="0" w:tplc="0426000F">
      <w:start w:val="1"/>
      <w:numFmt w:val="decimal"/>
      <w:lvlText w:val="%1."/>
      <w:lvlJc w:val="left"/>
      <w:pPr>
        <w:ind w:left="770" w:hanging="360"/>
      </w:pPr>
    </w:lvl>
    <w:lvl w:ilvl="1" w:tplc="04260019" w:tentative="1">
      <w:start w:val="1"/>
      <w:numFmt w:val="lowerLetter"/>
      <w:lvlText w:val="%2."/>
      <w:lvlJc w:val="left"/>
      <w:pPr>
        <w:ind w:left="1490" w:hanging="360"/>
      </w:pPr>
    </w:lvl>
    <w:lvl w:ilvl="2" w:tplc="0426001B" w:tentative="1">
      <w:start w:val="1"/>
      <w:numFmt w:val="lowerRoman"/>
      <w:lvlText w:val="%3."/>
      <w:lvlJc w:val="right"/>
      <w:pPr>
        <w:ind w:left="2210" w:hanging="180"/>
      </w:pPr>
    </w:lvl>
    <w:lvl w:ilvl="3" w:tplc="0426000F" w:tentative="1">
      <w:start w:val="1"/>
      <w:numFmt w:val="decimal"/>
      <w:lvlText w:val="%4."/>
      <w:lvlJc w:val="left"/>
      <w:pPr>
        <w:ind w:left="2930" w:hanging="360"/>
      </w:pPr>
    </w:lvl>
    <w:lvl w:ilvl="4" w:tplc="04260019" w:tentative="1">
      <w:start w:val="1"/>
      <w:numFmt w:val="lowerLetter"/>
      <w:lvlText w:val="%5."/>
      <w:lvlJc w:val="left"/>
      <w:pPr>
        <w:ind w:left="3650" w:hanging="360"/>
      </w:pPr>
    </w:lvl>
    <w:lvl w:ilvl="5" w:tplc="0426001B" w:tentative="1">
      <w:start w:val="1"/>
      <w:numFmt w:val="lowerRoman"/>
      <w:lvlText w:val="%6."/>
      <w:lvlJc w:val="right"/>
      <w:pPr>
        <w:ind w:left="4370" w:hanging="180"/>
      </w:pPr>
    </w:lvl>
    <w:lvl w:ilvl="6" w:tplc="0426000F" w:tentative="1">
      <w:start w:val="1"/>
      <w:numFmt w:val="decimal"/>
      <w:lvlText w:val="%7."/>
      <w:lvlJc w:val="left"/>
      <w:pPr>
        <w:ind w:left="5090" w:hanging="360"/>
      </w:pPr>
    </w:lvl>
    <w:lvl w:ilvl="7" w:tplc="04260019" w:tentative="1">
      <w:start w:val="1"/>
      <w:numFmt w:val="lowerLetter"/>
      <w:lvlText w:val="%8."/>
      <w:lvlJc w:val="left"/>
      <w:pPr>
        <w:ind w:left="5810" w:hanging="360"/>
      </w:pPr>
    </w:lvl>
    <w:lvl w:ilvl="8" w:tplc="0426001B" w:tentative="1">
      <w:start w:val="1"/>
      <w:numFmt w:val="lowerRoman"/>
      <w:lvlText w:val="%9."/>
      <w:lvlJc w:val="right"/>
      <w:pPr>
        <w:ind w:left="6530" w:hanging="180"/>
      </w:pPr>
    </w:lvl>
  </w:abstractNum>
  <w:abstractNum w:abstractNumId="4" w15:restartNumberingAfterBreak="0">
    <w:nsid w:val="60835C53"/>
    <w:multiLevelType w:val="hybridMultilevel"/>
    <w:tmpl w:val="56485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C57397"/>
    <w:multiLevelType w:val="hybridMultilevel"/>
    <w:tmpl w:val="85101B9A"/>
    <w:lvl w:ilvl="0" w:tplc="561A9FF8">
      <w:start w:val="1"/>
      <w:numFmt w:val="bullet"/>
      <w:lvlText w:val=""/>
      <w:lvlJc w:val="left"/>
      <w:pPr>
        <w:ind w:left="720" w:hanging="360"/>
      </w:pPr>
      <w:rPr>
        <w:rFonts w:ascii="Symbol" w:hAnsi="Symbol" w:hint="default"/>
      </w:rPr>
    </w:lvl>
    <w:lvl w:ilvl="1" w:tplc="92B0FE9E" w:tentative="1">
      <w:start w:val="1"/>
      <w:numFmt w:val="bullet"/>
      <w:lvlText w:val="o"/>
      <w:lvlJc w:val="left"/>
      <w:pPr>
        <w:ind w:left="1440" w:hanging="360"/>
      </w:pPr>
      <w:rPr>
        <w:rFonts w:ascii="Courier New" w:hAnsi="Courier New" w:cs="Courier New" w:hint="default"/>
      </w:rPr>
    </w:lvl>
    <w:lvl w:ilvl="2" w:tplc="AA76E54A" w:tentative="1">
      <w:start w:val="1"/>
      <w:numFmt w:val="bullet"/>
      <w:lvlText w:val=""/>
      <w:lvlJc w:val="left"/>
      <w:pPr>
        <w:ind w:left="2160" w:hanging="360"/>
      </w:pPr>
      <w:rPr>
        <w:rFonts w:ascii="Wingdings" w:hAnsi="Wingdings" w:hint="default"/>
      </w:rPr>
    </w:lvl>
    <w:lvl w:ilvl="3" w:tplc="0A828808" w:tentative="1">
      <w:start w:val="1"/>
      <w:numFmt w:val="bullet"/>
      <w:lvlText w:val=""/>
      <w:lvlJc w:val="left"/>
      <w:pPr>
        <w:ind w:left="2880" w:hanging="360"/>
      </w:pPr>
      <w:rPr>
        <w:rFonts w:ascii="Symbol" w:hAnsi="Symbol" w:hint="default"/>
      </w:rPr>
    </w:lvl>
    <w:lvl w:ilvl="4" w:tplc="237C90F6" w:tentative="1">
      <w:start w:val="1"/>
      <w:numFmt w:val="bullet"/>
      <w:lvlText w:val="o"/>
      <w:lvlJc w:val="left"/>
      <w:pPr>
        <w:ind w:left="3600" w:hanging="360"/>
      </w:pPr>
      <w:rPr>
        <w:rFonts w:ascii="Courier New" w:hAnsi="Courier New" w:cs="Courier New" w:hint="default"/>
      </w:rPr>
    </w:lvl>
    <w:lvl w:ilvl="5" w:tplc="8F5AE9F4" w:tentative="1">
      <w:start w:val="1"/>
      <w:numFmt w:val="bullet"/>
      <w:lvlText w:val=""/>
      <w:lvlJc w:val="left"/>
      <w:pPr>
        <w:ind w:left="4320" w:hanging="360"/>
      </w:pPr>
      <w:rPr>
        <w:rFonts w:ascii="Wingdings" w:hAnsi="Wingdings" w:hint="default"/>
      </w:rPr>
    </w:lvl>
    <w:lvl w:ilvl="6" w:tplc="E1CAC840" w:tentative="1">
      <w:start w:val="1"/>
      <w:numFmt w:val="bullet"/>
      <w:lvlText w:val=""/>
      <w:lvlJc w:val="left"/>
      <w:pPr>
        <w:ind w:left="5040" w:hanging="360"/>
      </w:pPr>
      <w:rPr>
        <w:rFonts w:ascii="Symbol" w:hAnsi="Symbol" w:hint="default"/>
      </w:rPr>
    </w:lvl>
    <w:lvl w:ilvl="7" w:tplc="F8EAEFEC" w:tentative="1">
      <w:start w:val="1"/>
      <w:numFmt w:val="bullet"/>
      <w:lvlText w:val="o"/>
      <w:lvlJc w:val="left"/>
      <w:pPr>
        <w:ind w:left="5760" w:hanging="360"/>
      </w:pPr>
      <w:rPr>
        <w:rFonts w:ascii="Courier New" w:hAnsi="Courier New" w:cs="Courier New" w:hint="default"/>
      </w:rPr>
    </w:lvl>
    <w:lvl w:ilvl="8" w:tplc="BAC464C4" w:tentative="1">
      <w:start w:val="1"/>
      <w:numFmt w:val="bullet"/>
      <w:lvlText w:val=""/>
      <w:lvlJc w:val="left"/>
      <w:pPr>
        <w:ind w:left="6480" w:hanging="360"/>
      </w:pPr>
      <w:rPr>
        <w:rFonts w:ascii="Wingdings" w:hAnsi="Wingdings" w:hint="default"/>
      </w:rPr>
    </w:lvl>
  </w:abstractNum>
  <w:num w:numId="1" w16cid:durableId="1862931704">
    <w:abstractNumId w:val="5"/>
  </w:num>
  <w:num w:numId="2" w16cid:durableId="7927522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7932355">
    <w:abstractNumId w:val="1"/>
  </w:num>
  <w:num w:numId="4" w16cid:durableId="1558203784">
    <w:abstractNumId w:val="4"/>
  </w:num>
  <w:num w:numId="5" w16cid:durableId="243951551">
    <w:abstractNumId w:val="2"/>
  </w:num>
  <w:num w:numId="6" w16cid:durableId="325744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6B5"/>
    <w:rsid w:val="00024D7C"/>
    <w:rsid w:val="00076B08"/>
    <w:rsid w:val="0009439B"/>
    <w:rsid w:val="000F66EC"/>
    <w:rsid w:val="00106301"/>
    <w:rsid w:val="001234D0"/>
    <w:rsid w:val="00141436"/>
    <w:rsid w:val="0017574C"/>
    <w:rsid w:val="00186018"/>
    <w:rsid w:val="001863CE"/>
    <w:rsid w:val="00186D7C"/>
    <w:rsid w:val="001A7606"/>
    <w:rsid w:val="001B274E"/>
    <w:rsid w:val="001C192F"/>
    <w:rsid w:val="001D15BF"/>
    <w:rsid w:val="001F7CD5"/>
    <w:rsid w:val="0020245B"/>
    <w:rsid w:val="00215E4C"/>
    <w:rsid w:val="002341F6"/>
    <w:rsid w:val="0023667D"/>
    <w:rsid w:val="00240D00"/>
    <w:rsid w:val="00242F1E"/>
    <w:rsid w:val="0025307B"/>
    <w:rsid w:val="00264AC7"/>
    <w:rsid w:val="00285990"/>
    <w:rsid w:val="002F3315"/>
    <w:rsid w:val="00311095"/>
    <w:rsid w:val="00316EED"/>
    <w:rsid w:val="00322EBF"/>
    <w:rsid w:val="00337230"/>
    <w:rsid w:val="003A7D08"/>
    <w:rsid w:val="003B4A2A"/>
    <w:rsid w:val="003B6573"/>
    <w:rsid w:val="003F017F"/>
    <w:rsid w:val="003F553B"/>
    <w:rsid w:val="0041559C"/>
    <w:rsid w:val="00427637"/>
    <w:rsid w:val="00447AC5"/>
    <w:rsid w:val="00454F83"/>
    <w:rsid w:val="00486BB3"/>
    <w:rsid w:val="004C2BB4"/>
    <w:rsid w:val="004D0E07"/>
    <w:rsid w:val="00503582"/>
    <w:rsid w:val="005260EE"/>
    <w:rsid w:val="00562CF2"/>
    <w:rsid w:val="00567D2B"/>
    <w:rsid w:val="005746C7"/>
    <w:rsid w:val="005A4B32"/>
    <w:rsid w:val="005A6B56"/>
    <w:rsid w:val="005C7088"/>
    <w:rsid w:val="005D0B59"/>
    <w:rsid w:val="0062244E"/>
    <w:rsid w:val="00645028"/>
    <w:rsid w:val="0064687A"/>
    <w:rsid w:val="00652046"/>
    <w:rsid w:val="006639D7"/>
    <w:rsid w:val="006A595E"/>
    <w:rsid w:val="006D5293"/>
    <w:rsid w:val="006E708D"/>
    <w:rsid w:val="006F035F"/>
    <w:rsid w:val="006F1701"/>
    <w:rsid w:val="0074342C"/>
    <w:rsid w:val="00762BDC"/>
    <w:rsid w:val="00776E8B"/>
    <w:rsid w:val="0078145A"/>
    <w:rsid w:val="007B0C19"/>
    <w:rsid w:val="007B3788"/>
    <w:rsid w:val="007C6793"/>
    <w:rsid w:val="007D3EBE"/>
    <w:rsid w:val="008153C5"/>
    <w:rsid w:val="00857D63"/>
    <w:rsid w:val="00860379"/>
    <w:rsid w:val="008B0FB3"/>
    <w:rsid w:val="008C1B6F"/>
    <w:rsid w:val="008C2A69"/>
    <w:rsid w:val="008C40AF"/>
    <w:rsid w:val="008F3ED6"/>
    <w:rsid w:val="008F71AA"/>
    <w:rsid w:val="009353F6"/>
    <w:rsid w:val="00935F96"/>
    <w:rsid w:val="009404E1"/>
    <w:rsid w:val="00986409"/>
    <w:rsid w:val="009B237E"/>
    <w:rsid w:val="009D139D"/>
    <w:rsid w:val="009D6258"/>
    <w:rsid w:val="009D6680"/>
    <w:rsid w:val="00A04B65"/>
    <w:rsid w:val="00A07A74"/>
    <w:rsid w:val="00A42619"/>
    <w:rsid w:val="00A426A9"/>
    <w:rsid w:val="00A42F4D"/>
    <w:rsid w:val="00A859C3"/>
    <w:rsid w:val="00A94C31"/>
    <w:rsid w:val="00AA741D"/>
    <w:rsid w:val="00AD53E1"/>
    <w:rsid w:val="00AE2D4F"/>
    <w:rsid w:val="00B13D92"/>
    <w:rsid w:val="00B15044"/>
    <w:rsid w:val="00B177C4"/>
    <w:rsid w:val="00B421C9"/>
    <w:rsid w:val="00B8338C"/>
    <w:rsid w:val="00BB1132"/>
    <w:rsid w:val="00BB6383"/>
    <w:rsid w:val="00BC7FC7"/>
    <w:rsid w:val="00BE32E6"/>
    <w:rsid w:val="00BE52F3"/>
    <w:rsid w:val="00C05A0F"/>
    <w:rsid w:val="00C135CB"/>
    <w:rsid w:val="00CA1DA4"/>
    <w:rsid w:val="00CD6736"/>
    <w:rsid w:val="00D03A3F"/>
    <w:rsid w:val="00D12260"/>
    <w:rsid w:val="00D7369D"/>
    <w:rsid w:val="00D774E8"/>
    <w:rsid w:val="00D8349F"/>
    <w:rsid w:val="00D935A1"/>
    <w:rsid w:val="00D938BE"/>
    <w:rsid w:val="00D94942"/>
    <w:rsid w:val="00DD19DC"/>
    <w:rsid w:val="00DD7F4B"/>
    <w:rsid w:val="00DE06B5"/>
    <w:rsid w:val="00DF57FC"/>
    <w:rsid w:val="00E03CA6"/>
    <w:rsid w:val="00E2317C"/>
    <w:rsid w:val="00E5555C"/>
    <w:rsid w:val="00E60B99"/>
    <w:rsid w:val="00E64ADE"/>
    <w:rsid w:val="00E720E9"/>
    <w:rsid w:val="00E85792"/>
    <w:rsid w:val="00EA0DF5"/>
    <w:rsid w:val="00EB4968"/>
    <w:rsid w:val="00EB4F9A"/>
    <w:rsid w:val="00EB6D5E"/>
    <w:rsid w:val="00EE634A"/>
    <w:rsid w:val="00EE73F3"/>
    <w:rsid w:val="00F15CE2"/>
    <w:rsid w:val="00F35043"/>
    <w:rsid w:val="00F4070E"/>
    <w:rsid w:val="00F51F08"/>
    <w:rsid w:val="00F63A72"/>
    <w:rsid w:val="00F65C1E"/>
    <w:rsid w:val="00F7758E"/>
    <w:rsid w:val="00FA79B2"/>
    <w:rsid w:val="00FB1702"/>
    <w:rsid w:val="00FB2F17"/>
    <w:rsid w:val="00FD2ACD"/>
    <w:rsid w:val="00FF12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DA30C"/>
  <w15:docId w15:val="{D300991B-A70F-4041-B8E4-68D8792F3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autoSpaceDN w:val="0"/>
      <w:spacing w:after="200" w:line="276" w:lineRule="auto"/>
      <w:textAlignment w:val="baseline"/>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0" w:line="240" w:lineRule="auto"/>
    </w:pPr>
  </w:style>
  <w:style w:type="character" w:customStyle="1" w:styleId="HeaderChar">
    <w:name w:val="Header Char"/>
    <w:rPr>
      <w:rFonts w:ascii="Calibri" w:eastAsia="Calibri" w:hAnsi="Calibri" w:cs="Times New Roman"/>
    </w:rPr>
  </w:style>
  <w:style w:type="paragraph" w:styleId="Footer">
    <w:name w:val="footer"/>
    <w:basedOn w:val="Normal"/>
    <w:uiPriority w:val="99"/>
    <w:pPr>
      <w:tabs>
        <w:tab w:val="center" w:pos="4153"/>
        <w:tab w:val="right" w:pos="8306"/>
      </w:tabs>
      <w:spacing w:after="0" w:line="240" w:lineRule="auto"/>
    </w:pPr>
  </w:style>
  <w:style w:type="character" w:customStyle="1" w:styleId="FooterChar">
    <w:name w:val="Footer Char"/>
    <w:uiPriority w:val="99"/>
    <w:rPr>
      <w:rFonts w:ascii="Calibri" w:eastAsia="Calibri" w:hAnsi="Calibri" w:cs="Times New Roman"/>
    </w:rPr>
  </w:style>
  <w:style w:type="table" w:styleId="TableGrid">
    <w:name w:val="Table Grid"/>
    <w:basedOn w:val="TableNormal"/>
    <w:uiPriority w:val="59"/>
    <w:rsid w:val="00DD19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4342C"/>
    <w:rPr>
      <w:color w:val="0563C1"/>
      <w:u w:val="single"/>
    </w:rPr>
  </w:style>
  <w:style w:type="character" w:styleId="UnresolvedMention">
    <w:name w:val="Unresolved Mention"/>
    <w:uiPriority w:val="99"/>
    <w:semiHidden/>
    <w:unhideWhenUsed/>
    <w:rsid w:val="0074342C"/>
    <w:rPr>
      <w:color w:val="605E5C"/>
      <w:shd w:val="clear" w:color="auto" w:fill="E1DFDD"/>
    </w:rPr>
  </w:style>
  <w:style w:type="paragraph" w:styleId="ListParagraph">
    <w:name w:val="List Paragraph"/>
    <w:aliases w:val="Virsraksti,Syle 1,Normal bullet 2,Bullet list,Strip,H&amp;P List Paragraph,2,Saistīto dokumentu saraksts,Numurets,PPS_Bullet,List Paragraph1,Colorful List - Accent 12,Colorful List - Accent 11,list paragraph,h&amp;p list paragraph,syle 1,numurets"/>
    <w:basedOn w:val="Normal"/>
    <w:link w:val="ListParagraphChar"/>
    <w:uiPriority w:val="34"/>
    <w:qFormat/>
    <w:rsid w:val="00076B08"/>
    <w:pPr>
      <w:suppressAutoHyphens w:val="0"/>
      <w:autoSpaceDN/>
      <w:spacing w:after="0" w:line="240" w:lineRule="auto"/>
      <w:ind w:left="720"/>
      <w:contextualSpacing/>
      <w:textAlignment w:val="auto"/>
    </w:pPr>
    <w:rPr>
      <w:rFonts w:ascii="Times New Roman" w:eastAsia="Times New Roman" w:hAnsi="Times New Roman"/>
      <w:sz w:val="24"/>
      <w:szCs w:val="24"/>
      <w:lang w:eastAsia="lv-LV"/>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List Paragraph1 Char,Colorful List - Accent 12 Char"/>
    <w:link w:val="ListParagraph"/>
    <w:uiPriority w:val="34"/>
    <w:qFormat/>
    <w:rsid w:val="00076B0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vardnica.lv/svesvardu-vardnica/a/analogs" TargetMode="External"/><Relationship Id="rId13" Type="http://schemas.openxmlformats.org/officeDocument/2006/relationships/hyperlink" Target="https://www.zva.gov.lv/lv/veselibas-aprupes-specialistiem-un-iestadem/mediciniskas-ierices/vigilanc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lvv.tezaurs.lv/analogs)" TargetMode="Externa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www.zva.gov.lv/lv/veselibas-aprupes-specialistiem-un-iestadem/mediciniskas-ierices/vigilance" TargetMode="External"/><Relationship Id="rId10" Type="http://schemas.openxmlformats.org/officeDocument/2006/relationships/hyperlink" Target="https://www.google.com/url?sa=i&amp;source=web&amp;rct=j&amp;url=https://mlvv.tezaurs.lv/analogs:1&amp;ved=2ahUKEwjn9cnj6Z-WAxUVUFUIHRGaB-MQy_kOegoIAggACAAICRAC&amp;opi=89978449&amp;cd&amp;psig=AOvVaw3RAAFCuEb3SAeiKu_ZV48t&amp;ust=178678682994900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google.com/search?client=opera&amp;q=kas+ir+analogs&amp;sourceid=opera&amp;ie=UTF-8&amp;oe=UTF-8" TargetMode="External"/><Relationship Id="rId14" Type="http://schemas.openxmlformats.org/officeDocument/2006/relationships/hyperlink" Target="https://health.ec.europa.eu/medical-devices-sector/new-regulations/guidance-mdcg-endorsed-documents-and-other-guidance/pmsv-reporting-forms_e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stradini@stradini.lv"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3384</Words>
  <Characters>1930</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Skripkina</dc:creator>
  <cp:lastModifiedBy>Laura Apenīte</cp:lastModifiedBy>
  <cp:revision>4</cp:revision>
  <cp:lastPrinted>2020-01-13T09:04:00Z</cp:lastPrinted>
  <dcterms:created xsi:type="dcterms:W3CDTF">2026-08-24T10:48:00Z</dcterms:created>
  <dcterms:modified xsi:type="dcterms:W3CDTF">2026-08-24T15:57:00Z</dcterms:modified>
</cp:coreProperties>
</file>