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r w:rsidR="49D0F8FA">
        <w:rPr/>
        <w:t/>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52A36" w14:paraId="486D9C8F" w14:textId="77777777">
            <w:pPr>
              <w:jc w:val="right"/>
              <w:rPr>
                <w:rFonts w:ascii="Times New Roman" w:hAnsi="Times New Roman" w:eastAsia="Calibri" w:cs="Times New Roman"/>
                <w:b/>
                <w:color w:val="000000"/>
              </w:rPr>
            </w:pPr>
            <w:r w:rsidRPr="00C67AAD" w:rsidR="00401F4F">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52A36" w14:paraId="736944BF" w14:textId="77777777">
            <w:pPr>
              <w:jc w:val="right"/>
              <w:rPr>
                <w:rFonts w:ascii="Arial" w:hAnsi="Arial" w:eastAsia="Calibri" w:cs="Arial"/>
                <w:b/>
                <w:color w:val="000000"/>
              </w:rPr>
            </w:pPr>
            <w:r w:rsidRPr="00E97BBF" w:rsidR="00401F4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452A36"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N-2026-1969</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52A36" w14:paraId="0B025BFF" w14:textId="076D9684">
            <w:pPr>
              <w:textAlignment w:val="center"/>
              <w:rPr>
                <w:rFonts w:ascii="Times New Roman" w:hAnsi="Times New Roman" w:eastAsia="Calibri" w:cs="Times New Roman"/>
                <w:color w:val="000000"/>
              </w:rPr>
            </w:pPr>
            <w:r w:rsidRPr="00C67AAD" w:rsidR="00401F4F">
              <w:rPr>
                <w:rFonts w:ascii="Arial" w:hAnsi="Arial" w:eastAsia="Calibri" w:cs="Arial"/>
                <w:color w:val="808080"/>
              </w:rPr>
              <w:t/>
            </w: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52A36" w14:paraId="556E1281" w14:textId="77777777">
            <w:pPr>
              <w:textAlignment w:val="center"/>
              <w:rPr>
                <w:rFonts w:ascii="Times New Roman" w:hAnsi="Times New Roman" w:eastAsia="Calibri" w:cs="Times New Roman"/>
                <w:color w:val="000000"/>
              </w:rPr>
            </w:pPr>
            <w:r w:rsidRPr="00C67AAD" w:rsidR="00401F4F">
              <w:rPr>
                <w:rFonts w:ascii="Arial" w:hAnsi="Arial" w:eastAsia="Calibri" w:cs="Arial"/>
                <w:color w:val="808080"/>
              </w:rPr>
              <w:t/>
            </w: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52A36" w14:paraId="62AAE084" w14:textId="77777777">
      <w:pPr>
        <w:jc w:val="both"/>
        <w:rPr>
          <w:rFonts w:ascii="Times New Roman" w:hAnsi="Times New Roman" w:eastAsia="Calibri" w:cs="Times New Roman"/>
          <w:i/>
          <w:iCs/>
          <w:color w:val="000000"/>
          <w:lang w:val="lv-LV" w:eastAsia="lv-LV"/>
        </w:rPr>
      </w:pPr>
      <w:r w:rsidRPr="49D0F8FA" w:rsidR="49D0F8FA">
        <w:rPr>
          <w:rFonts w:ascii="Arial,Calibri" w:hAnsi="Arial,Calibri" w:eastAsia="Arial,Calibri" w:cs="Arial,Calibri"/>
          <w:i w:val="1"/>
          <w:iCs w:val="1"/>
          <w:color w:val="808080" w:themeColor="text1" w:themeTint="7F" w:themeShade="FF"/>
          <w:lang w:val="lv-LV" w:eastAsia="lv-LV"/>
        </w:rPr>
        <w:t>Par sarunu procedūras, publicējot dalības uzaicinājumu, „EDS CB Rapiscan 920CT uzturēšana” (identifikācijas Nr. RIX 2026/107) prasībām</w:t>
      </w:r>
    </w:p>
    <w:p w:rsidRPr="00BA4DED" w:rsidR="00401F4F" w:rsidP="49D0F8FA" w:rsidRDefault="00BA4DED" w14:paraId="18D8647D" w14:textId="78C54BDB" w14:noSpellErr="1">
      <w:pPr>
        <w:ind/>
        <w:jc w:val="both"/>
      </w:pPr>
      <w:proofErr w:type="spellStart"/>
      <w:proofErr w:type="spellEnd"/>
      <w:r w:rsidRPr="49D0F8FA" w:rsidR="49D0F8FA">
        <w:rPr>
          <w:rFonts w:ascii="Arial" w:hAnsi="Arial" w:eastAsia="Arial" w:cs="Arial"/>
          <w:b w:val="0"/>
          <w:bCs w:val="0"/>
          <w:i w:val="1"/>
          <w:iCs w:val="1"/>
          <w:sz w:val="22"/>
          <w:szCs w:val="22"/>
        </w:rPr>
        <w:t>Regarding the requirements of the negotiated procedure by publishing an invitation to participate “</w:t>
      </w:r>
      <w:r w:rsidRPr="49D0F8FA" w:rsidR="49D0F8FA">
        <w:rPr>
          <w:rFonts w:ascii="Arial" w:hAnsi="Arial" w:eastAsia="Arial" w:cs="Arial"/>
          <w:b w:val="0"/>
          <w:bCs w:val="0"/>
          <w:i w:val="1"/>
          <w:iCs w:val="1"/>
          <w:sz w:val="22"/>
          <w:szCs w:val="22"/>
        </w:rPr>
        <w:t>Maintenance of the EDS CB Rapiscan 920CT</w:t>
      </w:r>
      <w:r w:rsidRPr="49D0F8FA" w:rsidR="49D0F8FA">
        <w:rPr>
          <w:rFonts w:ascii="Arial" w:hAnsi="Arial" w:eastAsia="Arial" w:cs="Arial"/>
          <w:b w:val="0"/>
          <w:bCs w:val="0"/>
          <w:i w:val="1"/>
          <w:iCs w:val="1"/>
          <w:sz w:val="22"/>
          <w:szCs w:val="22"/>
        </w:rPr>
        <w:t>” (Identification No. RIX 2026/107)</w:t>
      </w:r>
    </w:p>
    <w:p w:rsidRPr="00BA4DED" w:rsidR="00401F4F" w:rsidP="49D0F8FA" w:rsidRDefault="00BA4DED" w14:paraId="1E8BA310" w14:textId="66B426BA">
      <w:pPr>
        <w:ind/>
        <w:jc w:val="both"/>
      </w:pPr>
      <w:r w:rsidRPr="49D0F8FA" w:rsidR="49D0F8FA">
        <w:rPr>
          <w:rFonts w:ascii="Arial" w:hAnsi="Arial" w:eastAsia="Arial" w:cs="Arial"/>
          <w:b w:val="1"/>
          <w:bCs w:val="1"/>
          <w:sz w:val="22"/>
          <w:szCs w:val="22"/>
        </w:rPr>
        <w:t xml:space="preserve"> </w:t>
      </w:r>
    </w:p>
    <w:p w:rsidRPr="00BA4DED" w:rsidR="00401F4F" w:rsidP="49D0F8FA" w:rsidRDefault="00BA4DED" w14:paraId="08E2F549" w14:textId="52E5BEBE">
      <w:pPr>
        <w:ind w:left="0" w:firstLine="720"/>
        <w:jc w:val="both"/>
      </w:pPr>
      <w:r w:rsidRPr="49D0F8FA" w:rsidR="49D0F8FA">
        <w:rPr>
          <w:rFonts w:ascii="Arial" w:hAnsi="Arial" w:eastAsia="Arial" w:cs="Arial"/>
          <w:sz w:val="22"/>
          <w:szCs w:val="22"/>
        </w:rPr>
        <w:t>2026. gada 14.augustā ir saņemti jautājumi par VAS “Starptautiskā lidosta “Rīga”” (turpmāk – Pasūtītājs) organizētās sarunu procedūras, publicējot dalības uzaicinājumu, „</w:t>
      </w:r>
      <w:r w:rsidRPr="49D0F8FA" w:rsidR="49D0F8FA">
        <w:rPr>
          <w:rFonts w:ascii="Arial" w:hAnsi="Arial" w:eastAsia="Arial" w:cs="Arial"/>
          <w:sz w:val="22"/>
          <w:szCs w:val="22"/>
        </w:rPr>
        <w:t>EDS CB Rapiscan 920CT uzturēšana</w:t>
      </w:r>
      <w:r w:rsidRPr="49D0F8FA" w:rsidR="49D0F8FA">
        <w:rPr>
          <w:rFonts w:ascii="Arial" w:hAnsi="Arial" w:eastAsia="Arial" w:cs="Arial"/>
          <w:sz w:val="22"/>
          <w:szCs w:val="22"/>
        </w:rPr>
        <w:t>” (identifikācijas Nr. RIX 2026/107</w:t>
      </w:r>
      <w:r w:rsidRPr="49D0F8FA" w:rsidR="49D0F8FA">
        <w:rPr>
          <w:rFonts w:ascii="Arial" w:hAnsi="Arial" w:eastAsia="Arial" w:cs="Arial"/>
          <w:sz w:val="22"/>
          <w:szCs w:val="22"/>
        </w:rPr>
        <w:t>)</w:t>
      </w:r>
      <w:r w:rsidRPr="49D0F8FA" w:rsidR="49D0F8FA">
        <w:rPr>
          <w:rFonts w:ascii="Arial" w:hAnsi="Arial" w:eastAsia="Arial" w:cs="Arial"/>
          <w:sz w:val="22"/>
          <w:szCs w:val="22"/>
        </w:rPr>
        <w:t xml:space="preserve"> (turpmāk – Sarunu procedūra) prasībām.  </w:t>
      </w:r>
    </w:p>
    <w:p w:rsidRPr="00BA4DED" w:rsidR="00401F4F" w:rsidP="49D0F8FA" w:rsidRDefault="00BA4DED" w14:paraId="5217ECF1" w14:textId="16C5C304">
      <w:pPr>
        <w:ind w:left="0" w:firstLine="720"/>
        <w:jc w:val="both"/>
      </w:pPr>
      <w:r w:rsidRPr="49D0F8FA" w:rsidR="49D0F8FA">
        <w:rPr>
          <w:rFonts w:ascii="Arial" w:hAnsi="Arial" w:eastAsia="Arial" w:cs="Arial"/>
          <w:sz w:val="22"/>
          <w:szCs w:val="22"/>
        </w:rPr>
        <w:t>Iepirkuma komisija ir izskatījusi jautājumus un</w:t>
      </w:r>
      <w:r w:rsidRPr="49D0F8FA" w:rsidR="49D0F8FA">
        <w:rPr>
          <w:rFonts w:ascii="Arial" w:hAnsi="Arial" w:eastAsia="Arial" w:cs="Arial"/>
          <w:sz w:val="22"/>
          <w:szCs w:val="22"/>
        </w:rPr>
        <w:t xml:space="preserve"> apstiprinājusi šādas atbildes:</w:t>
      </w:r>
    </w:p>
    <w:p w:rsidRPr="00BA4DED" w:rsidR="00401F4F" w:rsidP="49D0F8FA" w:rsidRDefault="00BA4DED" w14:paraId="780287C5" w14:textId="1C20CE76">
      <w:pPr>
        <w:pStyle w:val="Normal"/>
        <w:ind/>
        <w:jc w:val="both"/>
      </w:pPr>
    </w:p>
    <w:p w:rsidRPr="00BA4DED" w:rsidR="00401F4F" w:rsidP="49D0F8FA" w:rsidRDefault="00BA4DED" w14:paraId="5BFC716D" w14:textId="46B69902" w14:noSpellErr="1">
      <w:pPr>
        <w:ind w:left="0" w:firstLine="720"/>
        <w:jc w:val="both"/>
      </w:pPr>
      <w:r w:rsidRPr="49D0F8FA" w:rsidR="49D0F8FA">
        <w:rPr>
          <w:rFonts w:ascii="Arial" w:hAnsi="Arial" w:eastAsia="Arial" w:cs="Arial"/>
          <w:i w:val="1"/>
          <w:iCs w:val="1"/>
          <w:sz w:val="22"/>
          <w:szCs w:val="22"/>
          <w:lang w:val="en-US"/>
        </w:rPr>
        <w:t xml:space="preserve">On 14 August 2026, questions were received regarding the requirements of the negotiated procedure </w:t>
      </w:r>
      <w:r w:rsidRPr="49D0F8FA" w:rsidR="49D0F8FA">
        <w:rPr>
          <w:rFonts w:ascii="Arial" w:hAnsi="Arial" w:eastAsia="Arial" w:cs="Arial"/>
          <w:i w:val="1"/>
          <w:iCs w:val="1"/>
          <w:sz w:val="22"/>
          <w:szCs w:val="22"/>
          <w:lang w:val="en-US"/>
        </w:rPr>
        <w:t>by publishing an</w:t>
      </w:r>
      <w:r w:rsidRPr="49D0F8FA" w:rsidR="49D0F8FA">
        <w:rPr>
          <w:rFonts w:ascii="Arial" w:hAnsi="Arial" w:eastAsia="Arial" w:cs="Arial"/>
          <w:i w:val="1"/>
          <w:iCs w:val="1"/>
          <w:sz w:val="22"/>
          <w:szCs w:val="22"/>
        </w:rPr>
        <w:t xml:space="preserve"> invitation</w:t>
      </w:r>
      <w:r w:rsidRPr="49D0F8FA" w:rsidR="49D0F8FA">
        <w:rPr>
          <w:rFonts w:ascii="Arial" w:hAnsi="Arial" w:eastAsia="Arial" w:cs="Arial"/>
          <w:i w:val="1"/>
          <w:iCs w:val="1"/>
          <w:sz w:val="22"/>
          <w:szCs w:val="22"/>
          <w:lang w:val="en-US"/>
        </w:rPr>
        <w:t xml:space="preserve"> to participate</w:t>
      </w:r>
      <w:r w:rsidRPr="49D0F8FA" w:rsidR="49D0F8FA">
        <w:rPr>
          <w:rFonts w:ascii="Arial" w:hAnsi="Arial" w:eastAsia="Arial" w:cs="Arial"/>
          <w:i w:val="1"/>
          <w:iCs w:val="1"/>
          <w:sz w:val="22"/>
          <w:szCs w:val="22"/>
          <w:lang w:val="en-US"/>
        </w:rPr>
        <w:t xml:space="preserve"> “Maintenance of the EDS CB Rapiscan 920CT” (Identification No. RIX 2026/107) (hereinafter – the Negotiated Procedure) organized by SJSC “Riga International Airport” (hereinafter – the Client)</w:t>
      </w:r>
      <w:r w:rsidRPr="49D0F8FA" w:rsidR="49D0F8FA">
        <w:rPr>
          <w:rFonts w:ascii="Arial" w:hAnsi="Arial" w:eastAsia="Arial" w:cs="Arial"/>
          <w:i w:val="1"/>
          <w:iCs w:val="1"/>
          <w:sz w:val="22"/>
          <w:szCs w:val="22"/>
        </w:rPr>
        <w:t xml:space="preserve">.  </w:t>
      </w:r>
    </w:p>
    <w:p w:rsidRPr="00BA4DED" w:rsidR="00401F4F" w:rsidP="49D0F8FA" w:rsidRDefault="00BA4DED" w14:paraId="112915FF" w14:textId="61597670" w14:noSpellErr="1">
      <w:pPr>
        <w:ind w:left="0" w:firstLine="720"/>
        <w:jc w:val="both"/>
      </w:pPr>
      <w:r w:rsidRPr="49D0F8FA" w:rsidR="49D0F8FA">
        <w:rPr>
          <w:rFonts w:ascii="Arial" w:hAnsi="Arial" w:eastAsia="Arial" w:cs="Arial"/>
          <w:i w:val="1"/>
          <w:iCs w:val="1"/>
          <w:sz w:val="22"/>
          <w:szCs w:val="22"/>
          <w:lang w:val="en-US"/>
        </w:rPr>
        <w:t>The Procurement Committee has reviewed the questions and approved the following responses</w:t>
      </w:r>
      <w:r w:rsidRPr="49D0F8FA" w:rsidR="49D0F8FA">
        <w:rPr>
          <w:rFonts w:ascii="Arial" w:hAnsi="Arial" w:eastAsia="Arial" w:cs="Arial"/>
          <w:i w:val="1"/>
          <w:iCs w:val="1"/>
          <w:sz w:val="22"/>
          <w:szCs w:val="22"/>
        </w:rPr>
        <w:t>:</w:t>
      </w:r>
    </w:p>
    <w:p w:rsidRPr="00BA4DED" w:rsidR="00401F4F" w:rsidP="49D0F8FA" w:rsidRDefault="00BA4DED" w14:paraId="57120FBB" w14:textId="5CB0063D" w14:noSpellErr="1">
      <w:pPr>
        <w:ind/>
        <w:jc w:val="both"/>
      </w:pPr>
      <w:r w:rsidRPr="49D0F8FA" w:rsidR="49D0F8FA">
        <w:rPr>
          <w:rFonts w:ascii="Arial" w:hAnsi="Arial" w:eastAsia="Arial" w:cs="Arial"/>
          <w:b w:val="1"/>
          <w:bCs w:val="1"/>
          <w:sz w:val="22"/>
          <w:szCs w:val="22"/>
          <w:lang w:val="en-GB"/>
        </w:rPr>
        <w:t>Section 1: Time Windows, Response Times, and Operational Contradictions</w:t>
      </w:r>
    </w:p>
    <w:p w:rsidRPr="00BA4DED" w:rsidR="00401F4F" w:rsidP="49D0F8FA" w:rsidRDefault="00BA4DED" w14:paraId="5121B436" w14:textId="51B39193"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Contradiction in Technical Support Availability &amp; SLA (Business Hours vs. 24/7):</w:t>
      </w:r>
      <w:r w:rsidRPr="49D0F8FA" w:rsidR="49D0F8FA">
        <w:rPr>
          <w:rFonts w:ascii="Arial" w:hAnsi="Arial" w:eastAsia="Arial" w:cs="Arial"/>
          <w:sz w:val="22"/>
          <w:szCs w:val="22"/>
          <w:lang w:val="en-GB"/>
        </w:rPr>
        <w:t xml:space="preserve"> Article 1.3 requires technical support and consultations by phone or email "during the Client's working hours (from 08:00 to 17:00, Latvian time), in 24/7 mode" with a 2-hour response time. As these conditions are mutually exclusive, please clarify whether the 2-hour response time and remote support availability apply 24/7/365 or strictly during standard business hours (08:00–17:00). </w:t>
      </w:r>
    </w:p>
    <w:p w:rsidRPr="00BA4DED" w:rsidR="00401F4F" w:rsidP="49D0F8FA" w:rsidRDefault="00BA4DED" w14:paraId="65DE3A30" w14:textId="070C1C94"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Categorization of Fault Severity &amp; Restoration Deadlines:</w:t>
      </w:r>
      <w:r w:rsidRPr="49D0F8FA" w:rsidR="49D0F8FA">
        <w:rPr>
          <w:rFonts w:ascii="Arial" w:hAnsi="Arial" w:eastAsia="Arial" w:cs="Arial"/>
          <w:sz w:val="22"/>
          <w:szCs w:val="22"/>
          <w:lang w:val="en-GB"/>
        </w:rPr>
        <w:t xml:space="preserve"> Clause 1.2.1 sets strict restoration deadlines of 48 hours or 96 hours depending on the unit. In standard aviation security maintenance contracts, SLA restoration times are differentiated by severity level (e.g., </w:t>
      </w:r>
      <w:r w:rsidRPr="49D0F8FA" w:rsidR="49D0F8FA">
        <w:rPr>
          <w:rFonts w:ascii="Arial" w:hAnsi="Arial" w:eastAsia="Arial" w:cs="Arial"/>
          <w:i w:val="1"/>
          <w:iCs w:val="1"/>
          <w:sz w:val="22"/>
          <w:szCs w:val="22"/>
          <w:lang w:val="en-GB"/>
        </w:rPr>
        <w:t>Severity 1 - System Down/Operational Halt</w:t>
      </w:r>
      <w:r w:rsidRPr="49D0F8FA" w:rsidR="49D0F8FA">
        <w:rPr>
          <w:rFonts w:ascii="Arial" w:hAnsi="Arial" w:eastAsia="Arial" w:cs="Arial"/>
          <w:sz w:val="22"/>
          <w:szCs w:val="22"/>
          <w:lang w:val="en-GB"/>
        </w:rPr>
        <w:t xml:space="preserve"> vs. </w:t>
      </w:r>
      <w:r w:rsidRPr="49D0F8FA" w:rsidR="49D0F8FA">
        <w:rPr>
          <w:rFonts w:ascii="Arial" w:hAnsi="Arial" w:eastAsia="Arial" w:cs="Arial"/>
          <w:i w:val="1"/>
          <w:iCs w:val="1"/>
          <w:sz w:val="22"/>
          <w:szCs w:val="22"/>
          <w:lang w:val="en-GB"/>
        </w:rPr>
        <w:t>Severity 3 - Minor Fault/Redundancy Available</w:t>
      </w:r>
      <w:r w:rsidRPr="49D0F8FA" w:rsidR="49D0F8FA">
        <w:rPr>
          <w:rFonts w:ascii="Arial" w:hAnsi="Arial" w:eastAsia="Arial" w:cs="Arial"/>
          <w:sz w:val="22"/>
          <w:szCs w:val="22"/>
          <w:lang w:val="en-GB"/>
        </w:rPr>
        <w:t xml:space="preserve">). Would the Client consider categorizing incidents by severity level, allowing longer restoration windows for minor issues that do not impact operational capacity? </w:t>
      </w:r>
    </w:p>
    <w:p w:rsidRPr="00BA4DED" w:rsidR="00401F4F" w:rsidP="49D0F8FA" w:rsidRDefault="00BA4DED" w14:paraId="4C8F946B" w14:textId="7C828F48"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Discrepancy in Defect Rectification Deadlines:</w:t>
      </w:r>
      <w:r w:rsidRPr="49D0F8FA" w:rsidR="49D0F8FA">
        <w:rPr>
          <w:rFonts w:ascii="Arial" w:hAnsi="Arial" w:eastAsia="Arial" w:cs="Arial"/>
          <w:sz w:val="22"/>
          <w:szCs w:val="22"/>
          <w:lang w:val="en-GB"/>
        </w:rPr>
        <w:t xml:space="preserve"> Article 1.2.1 establishes fixed deadlines for restoring operation after equipment failure (48 or 96 hours). However, Clause 1.2.2 allows the Parties to agree on a different deadline for damage repair, giving the Client the decisive opinion. Please clarify under what specific circumstances Clause 1.2.2 applies and how it interacts with the mandatory deadlines in Clause 1.2.1. </w:t>
      </w:r>
    </w:p>
    <w:p w:rsidRPr="00BA4DED" w:rsidR="00401F4F" w:rsidP="49D0F8FA" w:rsidRDefault="00BA4DED" w14:paraId="6628EA3E" w14:textId="68A9CB0B"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Delivery Deadlines for Non-Critical Spare Parts:</w:t>
      </w:r>
      <w:r w:rsidRPr="49D0F8FA" w:rsidR="49D0F8FA">
        <w:rPr>
          <w:rFonts w:ascii="Arial" w:hAnsi="Arial" w:eastAsia="Arial" w:cs="Arial"/>
          <w:sz w:val="22"/>
          <w:szCs w:val="22"/>
          <w:lang w:val="en-GB"/>
        </w:rPr>
        <w:t xml:space="preserve"> Article 2.1 references response and restoration times under Article 1.2.1. What is the maximum permitted delivery timeframe for spare parts replaced under warranty in cases where the unit remains operational and the issue does not cause a system outage? </w:t>
      </w:r>
    </w:p>
    <w:p w:rsidRPr="00BA4DED" w:rsidR="00401F4F" w:rsidP="49D0F8FA" w:rsidRDefault="00BA4DED" w14:paraId="3059075B" w14:textId="2F0FA4E5"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Supply Chain Disruptions and Force Majeure:</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Article 2.1 states that in case of global electronic component supply chain problems, a different delivery deadline may be agreed, with the Client holding the decisive opinion. Can the Client confirm that if a delay is demonstrably caused by global manufacturer supply chain disruptions, contractual penalties or sanctions will not be imposed on the Contractor</w:t>
      </w:r>
      <w:r w:rsidRPr="49D0F8FA" w:rsidR="49D0F8FA">
        <w:rPr>
          <w:rFonts w:ascii="Arial" w:hAnsi="Arial" w:eastAsia="Arial" w:cs="Arial"/>
          <w:sz w:val="22"/>
          <w:szCs w:val="22"/>
          <w:lang w:val="en-GB"/>
        </w:rPr>
        <w:t xml:space="preserve">? </w:t>
      </w:r>
    </w:p>
    <w:p w:rsidRPr="00BA4DED" w:rsidR="00401F4F" w:rsidP="49D0F8FA" w:rsidRDefault="00BA4DED" w14:paraId="1760BACE" w14:textId="55917CAD">
      <w:pPr>
        <w:ind w:left="720"/>
        <w:jc w:val="both"/>
      </w:pPr>
      <w:r w:rsidRPr="49D0F8FA" w:rsidR="49D0F8FA">
        <w:rPr>
          <w:rFonts w:ascii="Arial" w:hAnsi="Arial" w:eastAsia="Arial" w:cs="Arial"/>
          <w:sz w:val="22"/>
          <w:szCs w:val="22"/>
          <w:lang w:val="en-GB"/>
        </w:rPr>
        <w:t xml:space="preserve"> </w:t>
      </w:r>
    </w:p>
    <w:p w:rsidRPr="00BA4DED" w:rsidR="00401F4F" w:rsidP="49D0F8FA" w:rsidRDefault="00BA4DED" w14:paraId="7CFD6ED4" w14:textId="4425C735" w14:noSpellErr="1">
      <w:pPr>
        <w:ind/>
        <w:jc w:val="both"/>
      </w:pPr>
      <w:r w:rsidRPr="49D0F8FA" w:rsidR="49D0F8FA">
        <w:rPr>
          <w:rFonts w:ascii="Arial" w:hAnsi="Arial" w:eastAsia="Arial" w:cs="Arial"/>
          <w:b w:val="1"/>
          <w:bCs w:val="1"/>
          <w:sz w:val="22"/>
          <w:szCs w:val="22"/>
          <w:lang w:val="en-GB"/>
        </w:rPr>
        <w:t>Section 2: Scope and Concept of the Extended Warranty</w:t>
      </w:r>
    </w:p>
    <w:p w:rsidRPr="00BA4DED" w:rsidR="00401F4F" w:rsidP="49D0F8FA" w:rsidRDefault="00BA4DED" w14:paraId="7B46CBFA" w14:textId="3AF2E58C">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Definition and Scope of the Extended Warranty:</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Clause 3 states that the Extended Warranty covers the fulfillment of requirements set out in Articles 1.2–1.4 and 2, including preventive/corrective works, technical support, and the replacement of key consumables. Could the Client clarify whether the intended model is a full-risk, all-inclusive maintenance contract (</w:t>
      </w:r>
      <w:r w:rsidRPr="49D0F8FA" w:rsidR="49D0F8FA">
        <w:rPr>
          <w:rFonts w:ascii="Arial" w:hAnsi="Arial" w:eastAsia="Arial" w:cs="Arial"/>
          <w:i w:val="1"/>
          <w:iCs w:val="1"/>
          <w:sz w:val="22"/>
          <w:szCs w:val="22"/>
          <w:lang w:val="en-GB"/>
        </w:rPr>
        <w:t>Full Comprehensive Service</w:t>
      </w:r>
      <w:r w:rsidRPr="49D0F8FA" w:rsidR="49D0F8FA">
        <w:rPr>
          <w:rFonts w:ascii="Arial" w:hAnsi="Arial" w:eastAsia="Arial" w:cs="Arial"/>
          <w:sz w:val="22"/>
          <w:szCs w:val="22"/>
          <w:lang w:val="en-GB"/>
        </w:rPr>
        <w:t>), where all spare parts, consumables, technician call-outs, and labor hours are fully covered under a fixed fee without additional billing</w:t>
      </w:r>
      <w:r w:rsidRPr="49D0F8FA" w:rsidR="49D0F8FA">
        <w:rPr>
          <w:rFonts w:ascii="Arial" w:hAnsi="Arial" w:eastAsia="Arial" w:cs="Arial"/>
          <w:sz w:val="22"/>
          <w:szCs w:val="22"/>
          <w:lang w:val="en-GB"/>
        </w:rPr>
        <w:t xml:space="preserve">? </w:t>
      </w:r>
    </w:p>
    <w:p w:rsidRPr="00BA4DED" w:rsidR="00401F4F" w:rsidP="49D0F8FA" w:rsidRDefault="00BA4DED" w14:paraId="5784E374" w14:textId="57BBB7FE">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Billing for Parts and Labor During the Warranty Period:</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During the Extended Warranty period, will the Contractor have the right to invoice separately for any spare parts or repair works (excluding third-party damages mentioned in Article 1.5.1), or are all parts and repair labor strictly included within the fixed warranty/maintenance price</w:t>
      </w:r>
      <w:r w:rsidRPr="49D0F8FA" w:rsidR="49D0F8FA">
        <w:rPr>
          <w:rFonts w:ascii="Arial" w:hAnsi="Arial" w:eastAsia="Arial" w:cs="Arial"/>
          <w:sz w:val="22"/>
          <w:szCs w:val="22"/>
          <w:lang w:val="en-GB"/>
        </w:rPr>
        <w:t xml:space="preserve">? </w:t>
      </w:r>
    </w:p>
    <w:p w:rsidRPr="00BA4DED" w:rsidR="00401F4F" w:rsidP="49D0F8FA" w:rsidRDefault="00BA4DED" w14:paraId="64F9C1C3" w14:textId="411BDC1A"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Current Equipment Warranty Status and Technical Audit:</w:t>
      </w:r>
      <w:r w:rsidRPr="49D0F8FA" w:rsidR="49D0F8FA">
        <w:rPr>
          <w:rFonts w:ascii="Arial" w:hAnsi="Arial" w:eastAsia="Arial" w:cs="Arial"/>
          <w:sz w:val="22"/>
          <w:szCs w:val="22"/>
          <w:lang w:val="en-GB"/>
        </w:rPr>
        <w:t xml:space="preserve"> Does the original manufacturer’s warranty currently apply to all six (6) Rapiscan 920CT units (serial numbers listed in Section 1)? If not, will the Client allow Candidates to conduct a technical audit/inspection of the equipment prior to submitting final proposals in Stage 2 to accurately assess warranty risks? </w:t>
      </w:r>
    </w:p>
    <w:p w:rsidRPr="00BA4DED" w:rsidR="00401F4F" w:rsidP="49D0F8FA" w:rsidRDefault="00BA4DED" w14:paraId="702919AF" w14:textId="37FA07EC"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Spare Parts Availability &amp; Critical Spare Stocking:</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Clause 2.4 mentions that the Client may store critical spare parts in its warehouse. To optimize restoration times and mitigate global supply chain delays, would the Client provide a list of spare parts currently stocked on-site, or establish a mutually agreed Recommended Spare Parts List (RSPL) to be maintained at the airport premises</w:t>
      </w:r>
      <w:r w:rsidRPr="49D0F8FA" w:rsidR="49D0F8FA">
        <w:rPr>
          <w:rFonts w:ascii="Arial" w:hAnsi="Arial" w:eastAsia="Arial" w:cs="Arial"/>
          <w:sz w:val="22"/>
          <w:szCs w:val="22"/>
          <w:lang w:val="en-GB"/>
        </w:rPr>
        <w:t xml:space="preserve">? </w:t>
      </w:r>
    </w:p>
    <w:p w:rsidRPr="00BA4DED" w:rsidR="00401F4F" w:rsidP="49D0F8FA" w:rsidRDefault="00BA4DED" w14:paraId="3D0943A9" w14:textId="5444ED8E"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Scope of Software Updates vs. Major Upgrades:</w:t>
      </w:r>
      <w:r w:rsidRPr="49D0F8FA" w:rsidR="49D0F8FA">
        <w:rPr>
          <w:rFonts w:ascii="Arial" w:hAnsi="Arial" w:eastAsia="Arial" w:cs="Arial"/>
          <w:sz w:val="22"/>
          <w:szCs w:val="22"/>
          <w:lang w:val="en-GB"/>
        </w:rPr>
        <w:t xml:space="preserve"> Clause 1.4 requires the Contractor "to provide software updates, if available". To align with standard software maintenance practices for CT screening equipment, could the Client confirm that "updates" refer strictly to maintenance patches, bug fixes, and operational stability updates provided by the OEM, whereas major functional upgrades or regulatory ECAC algorithm updates are excluded or treated as additional services under Clause 1.5.1? </w:t>
      </w:r>
    </w:p>
    <w:p w:rsidRPr="00BA4DED" w:rsidR="00401F4F" w:rsidP="49D0F8FA" w:rsidRDefault="00BA4DED" w14:paraId="6D785EF2" w14:textId="1F16663E"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Pricing Structure in Stage 2:</w:t>
      </w:r>
      <w:r w:rsidRPr="49D0F8FA" w:rsidR="49D0F8FA">
        <w:rPr>
          <w:rFonts w:ascii="Arial" w:hAnsi="Arial" w:eastAsia="Arial" w:cs="Arial"/>
          <w:sz w:val="22"/>
          <w:szCs w:val="22"/>
          <w:lang w:val="en-GB"/>
        </w:rPr>
        <w:t xml:space="preserve"> Please clarify how pricing will be structured in Stage 2. Will the Extended Warranty and maintenance services be paid as a fixed monthly fee (</w:t>
      </w:r>
      <w:r w:rsidRPr="49D0F8FA" w:rsidR="49D0F8FA">
        <w:rPr>
          <w:rFonts w:ascii="Arial" w:hAnsi="Arial" w:eastAsia="Arial" w:cs="Arial"/>
          <w:i w:val="1"/>
          <w:iCs w:val="1"/>
          <w:sz w:val="22"/>
          <w:szCs w:val="22"/>
          <w:lang w:val="en-GB"/>
        </w:rPr>
        <w:t>flat rate</w:t>
      </w:r>
      <w:r w:rsidRPr="49D0F8FA" w:rsidR="49D0F8FA">
        <w:rPr>
          <w:rFonts w:ascii="Arial" w:hAnsi="Arial" w:eastAsia="Arial" w:cs="Arial"/>
          <w:sz w:val="22"/>
          <w:szCs w:val="22"/>
          <w:lang w:val="en-GB"/>
        </w:rPr>
        <w:t xml:space="preserve">), or based on actual performed works and replaced parts up to the total contract threshold of EUR 900,000.00 (excluding VAT)? </w:t>
      </w:r>
    </w:p>
    <w:p w:rsidRPr="00BA4DED" w:rsidR="00401F4F" w:rsidP="49D0F8FA" w:rsidRDefault="00BA4DED" w14:paraId="6DAC15E7" w14:textId="72356500"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Use of Refurbished Parts in Warranty Repairs:</w:t>
      </w:r>
      <w:r w:rsidRPr="49D0F8FA" w:rsidR="49D0F8FA">
        <w:rPr>
          <w:rFonts w:ascii="Arial" w:hAnsi="Arial" w:eastAsia="Arial" w:cs="Arial"/>
          <w:sz w:val="22"/>
          <w:szCs w:val="22"/>
          <w:lang w:val="en-GB"/>
        </w:rPr>
        <w:t xml:space="preserve"> Article 2.2 notes that refurbished spare parts may be offered upon separate agreement. </w:t>
      </w:r>
      <w:r w:rsidRPr="49D0F8FA" w:rsidR="49D0F8FA">
        <w:rPr>
          <w:rFonts w:ascii="Arial" w:hAnsi="Arial" w:eastAsia="Arial" w:cs="Arial"/>
          <w:sz w:val="22"/>
          <w:szCs w:val="22"/>
          <w:lang w:val="en-GB"/>
        </w:rPr>
        <w:t>Is the use of refurbished parts permissible during Extended Warranty repairs, and under what specific conditions will approval be granted</w:t>
      </w:r>
      <w:r w:rsidRPr="49D0F8FA" w:rsidR="49D0F8FA">
        <w:rPr>
          <w:rFonts w:ascii="Arial" w:hAnsi="Arial" w:eastAsia="Arial" w:cs="Arial"/>
          <w:sz w:val="22"/>
          <w:szCs w:val="22"/>
          <w:lang w:val="en-GB"/>
        </w:rPr>
        <w:t xml:space="preserve">? </w:t>
      </w:r>
    </w:p>
    <w:p w:rsidRPr="00BA4DED" w:rsidR="00401F4F" w:rsidP="49D0F8FA" w:rsidRDefault="00BA4DED" w14:paraId="1607C84C" w14:textId="261F3803" w14:noSpellErr="1">
      <w:pPr>
        <w:ind/>
        <w:jc w:val="both"/>
      </w:pPr>
      <w:r w:rsidRPr="49D0F8FA" w:rsidR="49D0F8FA">
        <w:rPr>
          <w:rFonts w:ascii="Arial" w:hAnsi="Arial" w:eastAsia="Arial" w:cs="Arial"/>
          <w:b w:val="1"/>
          <w:bCs w:val="1"/>
          <w:sz w:val="22"/>
          <w:szCs w:val="22"/>
          <w:lang w:val="en-GB"/>
        </w:rPr>
        <w:t>Section 3: Exclusions, Third-Party Interventions, Damage, and Wear &amp; Tear</w:t>
      </w:r>
    </w:p>
    <w:p w:rsidRPr="00BA4DED" w:rsidR="00401F4F" w:rsidP="49D0F8FA" w:rsidRDefault="00BA4DED" w14:paraId="0269C6FC" w14:textId="3E73BDEC"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Impact of Prior or Third-Party Repairs:</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 xml:space="preserve">Article 1.3 notes that the Client's personnel will perform minor repairs within their capabilities. </w:t>
      </w:r>
      <w:r w:rsidRPr="49D0F8FA" w:rsidR="49D0F8FA">
        <w:rPr>
          <w:rFonts w:ascii="Arial" w:hAnsi="Arial" w:eastAsia="Arial" w:cs="Arial"/>
          <w:sz w:val="22"/>
          <w:szCs w:val="22"/>
          <w:lang w:val="en-GB"/>
        </w:rPr>
        <w:t>Please confirm and clarify that the Extended Warranty does not cover units, components, or spare parts that have been previously repaired, modified, or tampered with by third parties or the Client's personnel without the express prior written approval of the Contractor or manufacturer. How will liability be apportioned in such cases</w:t>
      </w:r>
      <w:r w:rsidRPr="49D0F8FA" w:rsidR="49D0F8FA">
        <w:rPr>
          <w:rFonts w:ascii="Arial" w:hAnsi="Arial" w:eastAsia="Arial" w:cs="Arial"/>
          <w:sz w:val="22"/>
          <w:szCs w:val="22"/>
          <w:lang w:val="en-GB"/>
        </w:rPr>
        <w:t xml:space="preserve">? </w:t>
      </w:r>
    </w:p>
    <w:p w:rsidRPr="00BA4DED" w:rsidR="00401F4F" w:rsidP="49D0F8FA" w:rsidRDefault="00BA4DED" w14:paraId="3BA678E2" w14:textId="5AF964DF"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Damage Caused by User Error, Misuse, or Intentional Destruction:</w:t>
      </w:r>
      <w:r w:rsidRPr="49D0F8FA" w:rsidR="49D0F8FA">
        <w:rPr>
          <w:rFonts w:ascii="Arial" w:hAnsi="Arial" w:eastAsia="Arial" w:cs="Arial"/>
          <w:sz w:val="22"/>
          <w:szCs w:val="22"/>
          <w:lang w:val="en-GB"/>
        </w:rPr>
        <w:t xml:space="preserve"> Article 1.5.1 specifies that repairs due to third-party fault will be performed as additional, separately paid works. How are cases handled where equipment damage or failure is caused by incorrect usage, operator error, negligence, or deliberate damage by the Client's personnel? What is the procedure for technical damage assessment and cost reimbursement in these instances? </w:t>
      </w:r>
    </w:p>
    <w:p w:rsidRPr="00BA4DED" w:rsidR="00401F4F" w:rsidP="49D0F8FA" w:rsidRDefault="00BA4DED" w14:paraId="0B0EA919" w14:textId="3FD66290"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Criteria for Normal vs. Excessive Wear and Tear on Consumables:</w:t>
      </w:r>
      <w:r w:rsidRPr="49D0F8FA" w:rsidR="49D0F8FA">
        <w:rPr>
          <w:rFonts w:ascii="Arial" w:hAnsi="Arial" w:eastAsia="Arial" w:cs="Arial"/>
          <w:sz w:val="22"/>
          <w:szCs w:val="22"/>
          <w:lang w:val="en-GB"/>
        </w:rPr>
        <w:t xml:space="preserve"> Clause 3 includes consumables such as curtains, conveyor belts, anti-static brushes, and acrylic glass. By what technical criteria will the Client evaluate "normal wear and tear" as opposed to operational misuse or excessive mechanical damage? Are routine replacements due to operational wear expected to be covered under warranty, or only cases resulting from manufacturing defects? </w:t>
      </w:r>
    </w:p>
    <w:p w:rsidRPr="00BA4DED" w:rsidR="00401F4F" w:rsidP="49D0F8FA" w:rsidRDefault="00BA4DED" w14:paraId="4CBA9748" w14:textId="060F77B0"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General Exclusions from Extended Warranty:</w:t>
      </w:r>
      <w:r w:rsidRPr="49D0F8FA" w:rsidR="49D0F8FA">
        <w:rPr>
          <w:rFonts w:ascii="Arial" w:hAnsi="Arial" w:eastAsia="Arial" w:cs="Arial"/>
          <w:sz w:val="22"/>
          <w:szCs w:val="22"/>
          <w:lang w:val="en-GB"/>
        </w:rPr>
        <w:t xml:space="preserve"> Please provide an exhaustive list of exclusions from the Extended Warranty (Clause 3). Under what specific conditions is the Contractor released from warranty obligations (e.g., violation of environmental/operating conditions, unapproved third-party intervention, power surges, liquid damage, or force majeure)? </w:t>
      </w:r>
    </w:p>
    <w:p w:rsidRPr="00BA4DED" w:rsidR="00401F4F" w:rsidP="49D0F8FA" w:rsidRDefault="00BA4DED" w14:paraId="1E4ABD0C" w14:textId="3803910B">
      <w:pPr>
        <w:ind w:left="720"/>
        <w:jc w:val="both"/>
      </w:pPr>
      <w:r w:rsidRPr="49D0F8FA" w:rsidR="49D0F8FA">
        <w:rPr>
          <w:rFonts w:ascii="Arial" w:hAnsi="Arial" w:eastAsia="Arial" w:cs="Arial"/>
          <w:b w:val="1"/>
          <w:bCs w:val="1"/>
          <w:i w:val="1"/>
          <w:iCs w:val="1"/>
          <w:sz w:val="22"/>
          <w:szCs w:val="22"/>
        </w:rPr>
        <w:t xml:space="preserve"> </w:t>
      </w:r>
    </w:p>
    <w:p w:rsidRPr="00BA4DED" w:rsidR="00401F4F" w:rsidP="49D0F8FA" w:rsidRDefault="00BA4DED" w14:paraId="11C9D057" w14:textId="47579C75">
      <w:pPr>
        <w:ind w:left="720"/>
        <w:jc w:val="both"/>
      </w:pPr>
      <w:r w:rsidRPr="49D0F8FA" w:rsidR="49D0F8FA">
        <w:rPr>
          <w:rFonts w:ascii="Arial" w:hAnsi="Arial" w:eastAsia="Arial" w:cs="Arial"/>
          <w:b w:val="1"/>
          <w:bCs w:val="1"/>
          <w:i w:val="1"/>
          <w:iCs w:val="1"/>
          <w:sz w:val="22"/>
          <w:szCs w:val="22"/>
        </w:rPr>
        <w:t>Komisijas</w:t>
      </w:r>
      <w:r w:rsidRPr="49D0F8FA" w:rsidR="49D0F8FA">
        <w:rPr>
          <w:rFonts w:ascii="Arial" w:hAnsi="Arial" w:eastAsia="Arial" w:cs="Arial"/>
          <w:b w:val="1"/>
          <w:bCs w:val="1"/>
          <w:i w:val="1"/>
          <w:iCs w:val="1"/>
          <w:sz w:val="22"/>
          <w:szCs w:val="22"/>
        </w:rPr>
        <w:t xml:space="preserve"> atbilde uz 1.-16. jautājumu</w:t>
      </w:r>
      <w:r w:rsidRPr="49D0F8FA" w:rsidR="49D0F8FA">
        <w:rPr>
          <w:rFonts w:ascii="Arial" w:hAnsi="Arial" w:eastAsia="Arial" w:cs="Arial"/>
          <w:sz w:val="22"/>
          <w:szCs w:val="22"/>
        </w:rPr>
        <w:t>: Tā kā jautājumi ir uzdoti par iepirkuma priekšmeta aprakstu un iepirkuma līguma izpild</w:t>
      </w:r>
      <w:r w:rsidRPr="49D0F8FA" w:rsidR="49D0F8FA">
        <w:rPr>
          <w:rFonts w:ascii="Arial" w:hAnsi="Arial" w:eastAsia="Arial" w:cs="Arial"/>
          <w:color w:val="000000" w:themeColor="text1" w:themeTint="FF" w:themeShade="FF"/>
          <w:sz w:val="22"/>
          <w:szCs w:val="22"/>
        </w:rPr>
        <w:t xml:space="preserve">es, </w:t>
      </w:r>
      <w:r w:rsidRPr="49D0F8FA" w:rsidR="49D0F8FA">
        <w:rPr>
          <w:rFonts w:ascii="Arial" w:hAnsi="Arial" w:eastAsia="Arial" w:cs="Arial"/>
          <w:color w:val="000000" w:themeColor="text1" w:themeTint="FF" w:themeShade="FF"/>
          <w:sz w:val="22"/>
          <w:szCs w:val="22"/>
        </w:rPr>
        <w:t>un finanšu piedāvājuma  jautājumiem</w:t>
      </w:r>
      <w:r w:rsidRPr="49D0F8FA" w:rsidR="49D0F8FA">
        <w:rPr>
          <w:rFonts w:ascii="Arial" w:hAnsi="Arial" w:eastAsia="Arial" w:cs="Arial"/>
          <w:color w:val="000000" w:themeColor="text1" w:themeTint="FF" w:themeShade="FF"/>
          <w:sz w:val="22"/>
          <w:szCs w:val="22"/>
        </w:rPr>
        <w:t xml:space="preserve">, bet Sarunu procedūras 1.kārtā (kandidātu atlases posmā) tehniskā specifikācija pilnā apjomā un iepirkuma līguma projekts, </w:t>
      </w:r>
      <w:r w:rsidRPr="49D0F8FA" w:rsidR="49D0F8FA">
        <w:rPr>
          <w:rFonts w:ascii="Arial" w:hAnsi="Arial" w:eastAsia="Arial" w:cs="Arial"/>
          <w:color w:val="000000" w:themeColor="text1" w:themeTint="FF" w:themeShade="FF"/>
          <w:sz w:val="22"/>
          <w:szCs w:val="22"/>
        </w:rPr>
        <w:t>un finanšu piedāvājuma forma</w:t>
      </w:r>
      <w:r w:rsidRPr="49D0F8FA" w:rsidR="49D0F8FA">
        <w:rPr>
          <w:rFonts w:ascii="Arial" w:hAnsi="Arial" w:eastAsia="Arial" w:cs="Arial"/>
          <w:color w:val="000000" w:themeColor="text1" w:themeTint="FF" w:themeShade="FF"/>
          <w:sz w:val="22"/>
          <w:szCs w:val="22"/>
        </w:rPr>
        <w:t xml:space="preserve"> nav pievienoti Sarunu procedūras dokumentācijai, Pasūtītājs šajā Sarunu procedūras stadijā nevar sniegt atbildes uz uzdotajiem jautājumiem pēc būtības.</w:t>
      </w:r>
    </w:p>
    <w:p w:rsidRPr="00BA4DED" w:rsidR="00401F4F" w:rsidP="49D0F8FA" w:rsidRDefault="00BA4DED" w14:paraId="14DB17CF" w14:textId="28A02298">
      <w:pPr>
        <w:ind w:left="720"/>
        <w:jc w:val="both"/>
      </w:pPr>
      <w:r w:rsidRPr="49D0F8FA" w:rsidR="49D0F8FA">
        <w:rPr>
          <w:rFonts w:ascii="Arial" w:hAnsi="Arial" w:eastAsia="Arial" w:cs="Arial"/>
          <w:color w:val="000000" w:themeColor="text1" w:themeTint="FF" w:themeShade="FF"/>
          <w:sz w:val="22"/>
          <w:szCs w:val="22"/>
        </w:rPr>
        <w:t xml:space="preserve">Vēršam uzmanību, ka Sarunu procedūras tehniskā specifikācija pilnā apjomā (gala versija), kā arī iepirkuma līguma projekts </w:t>
      </w:r>
      <w:r w:rsidRPr="49D0F8FA" w:rsidR="49D0F8FA">
        <w:rPr>
          <w:rFonts w:ascii="Arial" w:hAnsi="Arial" w:eastAsia="Arial" w:cs="Arial"/>
          <w:color w:val="000000" w:themeColor="text1" w:themeTint="FF" w:themeShade="FF"/>
          <w:sz w:val="22"/>
          <w:szCs w:val="22"/>
        </w:rPr>
        <w:t>un finanšu piedāvājuma forma</w:t>
      </w:r>
      <w:r w:rsidRPr="49D0F8FA" w:rsidR="49D0F8FA">
        <w:rPr>
          <w:rFonts w:ascii="Arial" w:hAnsi="Arial" w:eastAsia="Arial" w:cs="Arial"/>
          <w:color w:val="000000" w:themeColor="text1" w:themeTint="FF" w:themeShade="FF"/>
          <w:sz w:val="22"/>
          <w:szCs w:val="22"/>
        </w:rPr>
        <w:t xml:space="preserve">, tiks izsniegts uzaicinātajiem pretendentiem Sarunu procedūras 2.kārtā. Sarunu procedūras 2.kārtā uzaicinātiem pretendentiem uzaicinājumā noteiktajā kārtībā būs tiesības uzdot jautājumus un izteikt priekšlikumus par Sarunu procedūras uzaicinājumā, t.sk. tehniskās specifikācijas un iepirkuma līguma projekta, </w:t>
      </w:r>
      <w:r w:rsidRPr="49D0F8FA" w:rsidR="49D0F8FA">
        <w:rPr>
          <w:rFonts w:ascii="Arial" w:hAnsi="Arial" w:eastAsia="Arial" w:cs="Arial"/>
          <w:color w:val="000000" w:themeColor="text1" w:themeTint="FF" w:themeShade="FF"/>
          <w:sz w:val="22"/>
          <w:szCs w:val="22"/>
        </w:rPr>
        <w:t xml:space="preserve">finanšu piedāvājuma  </w:t>
      </w:r>
      <w:r w:rsidRPr="49D0F8FA" w:rsidR="49D0F8FA">
        <w:rPr>
          <w:rFonts w:ascii="Arial" w:hAnsi="Arial" w:eastAsia="Arial" w:cs="Arial"/>
          <w:color w:val="000000" w:themeColor="text1" w:themeTint="FF" w:themeShade="FF"/>
          <w:sz w:val="22"/>
          <w:szCs w:val="22"/>
        </w:rPr>
        <w:t>p</w:t>
      </w:r>
      <w:r w:rsidRPr="49D0F8FA" w:rsidR="49D0F8FA">
        <w:rPr>
          <w:rFonts w:ascii="Arial" w:hAnsi="Arial" w:eastAsia="Arial" w:cs="Arial"/>
          <w:sz w:val="22"/>
          <w:szCs w:val="22"/>
        </w:rPr>
        <w:t>rasībām.</w:t>
      </w:r>
    </w:p>
    <w:p w:rsidRPr="00BA4DED" w:rsidR="00401F4F" w:rsidP="49D0F8FA" w:rsidRDefault="00BA4DED" w14:paraId="52DD8DEE" w14:textId="46C01D3F">
      <w:pPr>
        <w:pStyle w:val="Normal"/>
        <w:ind w:left="720"/>
        <w:jc w:val="both"/>
      </w:pPr>
    </w:p>
    <w:p w:rsidRPr="00BA4DED" w:rsidR="00401F4F" w:rsidP="49D0F8FA" w:rsidRDefault="00BA4DED" w14:paraId="7AA0A998" w14:textId="6694E6AD" w14:noSpellErr="1">
      <w:pPr>
        <w:ind w:left="720"/>
        <w:jc w:val="both"/>
      </w:pPr>
      <w:r w:rsidRPr="49D0F8FA" w:rsidR="49D0F8FA">
        <w:rPr>
          <w:rFonts w:ascii="Arial" w:hAnsi="Arial" w:eastAsia="Arial" w:cs="Arial"/>
          <w:b w:val="1"/>
          <w:bCs w:val="1"/>
          <w:i w:val="1"/>
          <w:iCs w:val="1"/>
          <w:sz w:val="22"/>
          <w:szCs w:val="22"/>
        </w:rPr>
        <w:t>The Committee’s response to Questions 1–16</w:t>
      </w:r>
      <w:r w:rsidRPr="49D0F8FA" w:rsidR="49D0F8FA">
        <w:rPr>
          <w:rFonts w:ascii="Arial" w:hAnsi="Arial" w:eastAsia="Arial" w:cs="Arial"/>
          <w:sz w:val="22"/>
          <w:szCs w:val="22"/>
        </w:rPr>
        <w:t xml:space="preserve">: </w:t>
      </w:r>
      <w:r w:rsidRPr="49D0F8FA" w:rsidR="49D0F8FA">
        <w:rPr>
          <w:rFonts w:ascii="Arial" w:hAnsi="Arial" w:eastAsia="Arial" w:cs="Arial"/>
          <w:i w:val="1"/>
          <w:iCs w:val="1"/>
          <w:sz w:val="22"/>
          <w:szCs w:val="22"/>
          <w:lang w:val="en-US"/>
        </w:rPr>
        <w:t>Since the questions concern the description of the subject matter of the procurement and matters relating to the performance of the procurement contract and financial proposal</w:t>
      </w:r>
      <w:r w:rsidRPr="49D0F8FA" w:rsidR="49D0F8FA">
        <w:rPr>
          <w:rFonts w:ascii="Arial" w:hAnsi="Arial" w:eastAsia="Arial" w:cs="Arial"/>
          <w:i w:val="1"/>
          <w:iCs w:val="1"/>
          <w:sz w:val="22"/>
          <w:szCs w:val="22"/>
          <w:lang w:val="en-US"/>
        </w:rPr>
        <w:t xml:space="preserve">, but at the first stage of the Negotiated Procedure (the candidate selection stage), the full technical specification, </w:t>
      </w:r>
      <w:r w:rsidRPr="49D0F8FA" w:rsidR="49D0F8FA">
        <w:rPr>
          <w:rFonts w:ascii="Arial" w:hAnsi="Arial" w:eastAsia="Arial" w:cs="Arial"/>
          <w:i w:val="1"/>
          <w:iCs w:val="1"/>
          <w:sz w:val="22"/>
          <w:szCs w:val="22"/>
          <w:lang w:val="en-US"/>
        </w:rPr>
        <w:t xml:space="preserve">the draft procurement contract and financial proposal form </w:t>
      </w:r>
      <w:r w:rsidRPr="49D0F8FA" w:rsidR="49D0F8FA">
        <w:rPr>
          <w:rFonts w:ascii="Arial" w:hAnsi="Arial" w:eastAsia="Arial" w:cs="Arial"/>
          <w:i w:val="1"/>
          <w:iCs w:val="1"/>
          <w:sz w:val="22"/>
          <w:szCs w:val="22"/>
          <w:lang w:val="en-US"/>
        </w:rPr>
        <w:t>have not been included in the documentation for the Negotiated Procedure, the Client is unable to provide substantive answers to the questions raised at this stage of the Negotiated Procedure.</w:t>
      </w:r>
    </w:p>
    <w:p w:rsidRPr="00BA4DED" w:rsidR="00401F4F" w:rsidP="49D0F8FA" w:rsidRDefault="00BA4DED" w14:paraId="06D4482F" w14:textId="09D15765" w14:noSpellErr="1">
      <w:pPr>
        <w:ind w:left="720"/>
        <w:jc w:val="both"/>
      </w:pPr>
      <w:r w:rsidRPr="49D0F8FA" w:rsidR="49D0F8FA">
        <w:rPr>
          <w:rFonts w:ascii="Arial" w:hAnsi="Arial" w:eastAsia="Arial" w:cs="Arial"/>
          <w:i w:val="1"/>
          <w:iCs w:val="1"/>
          <w:sz w:val="22"/>
          <w:szCs w:val="22"/>
          <w:lang w:val="en-US"/>
        </w:rPr>
        <w:t>Please note that the full technical specification for the Negotiated Procedure (final version), as well as the draft procurement contract a</w:t>
      </w:r>
      <w:r w:rsidRPr="49D0F8FA" w:rsidR="49D0F8FA">
        <w:rPr>
          <w:rFonts w:ascii="Arial" w:hAnsi="Arial" w:eastAsia="Arial" w:cs="Arial"/>
          <w:i w:val="1"/>
          <w:iCs w:val="1"/>
          <w:sz w:val="22"/>
          <w:szCs w:val="22"/>
        </w:rPr>
        <w:t>nd financial proposal form</w:t>
      </w:r>
      <w:r w:rsidRPr="49D0F8FA" w:rsidR="49D0F8FA">
        <w:rPr>
          <w:rFonts w:ascii="Arial" w:hAnsi="Arial" w:eastAsia="Arial" w:cs="Arial"/>
          <w:i w:val="1"/>
          <w:iCs w:val="1"/>
          <w:sz w:val="22"/>
          <w:szCs w:val="22"/>
          <w:lang w:val="en-US"/>
        </w:rPr>
        <w:t>, will be provided to the invited applicants in the second stage of the Negotiated Procedure. During the second stage of the Negotiated Procedure, the invited applicants will have the right, in accordance with the procedure set out in the invitation, to submit questions and proposals regarding the requirements set out in the invitation to participate in the Negotiated Procedure, including the requirements of the technical specification,</w:t>
      </w:r>
      <w:r w:rsidRPr="49D0F8FA" w:rsidR="49D0F8FA">
        <w:rPr>
          <w:rFonts w:ascii="Arial" w:hAnsi="Arial" w:eastAsia="Arial" w:cs="Arial"/>
          <w:i w:val="1"/>
          <w:iCs w:val="1"/>
          <w:sz w:val="22"/>
          <w:szCs w:val="22"/>
          <w:lang w:val="en-US"/>
        </w:rPr>
        <w:t xml:space="preserve"> the draft procurement contract a</w:t>
      </w:r>
      <w:r w:rsidRPr="49D0F8FA" w:rsidR="49D0F8FA">
        <w:rPr>
          <w:rFonts w:ascii="Arial" w:hAnsi="Arial" w:eastAsia="Arial" w:cs="Arial"/>
          <w:i w:val="1"/>
          <w:iCs w:val="1"/>
          <w:sz w:val="22"/>
          <w:szCs w:val="22"/>
        </w:rPr>
        <w:t>nd financial proposal</w:t>
      </w:r>
      <w:r w:rsidRPr="49D0F8FA" w:rsidR="49D0F8FA">
        <w:rPr>
          <w:rFonts w:ascii="Arial" w:hAnsi="Arial" w:eastAsia="Arial" w:cs="Arial"/>
          <w:i w:val="1"/>
          <w:iCs w:val="1"/>
          <w:sz w:val="22"/>
          <w:szCs w:val="22"/>
          <w:lang w:val="en-US"/>
        </w:rPr>
        <w:t>.</w:t>
      </w:r>
    </w:p>
    <w:p w:rsidRPr="00BA4DED" w:rsidR="00401F4F" w:rsidP="49D0F8FA" w:rsidRDefault="00BA4DED" w14:paraId="1474FD59" w14:textId="63BDC0EF">
      <w:pPr>
        <w:pStyle w:val="Normal"/>
        <w:ind w:left="720"/>
        <w:jc w:val="both"/>
      </w:pPr>
    </w:p>
    <w:p w:rsidRPr="00BA4DED" w:rsidR="00401F4F" w:rsidP="49D0F8FA" w:rsidRDefault="00BA4DED" w14:paraId="280D16A9" w14:textId="1AEDCBEA" w14:noSpellErr="1">
      <w:pPr>
        <w:ind/>
        <w:jc w:val="both"/>
      </w:pPr>
      <w:r w:rsidRPr="49D0F8FA" w:rsidR="49D0F8FA">
        <w:rPr>
          <w:rFonts w:ascii="Arial" w:hAnsi="Arial" w:eastAsia="Arial" w:cs="Arial"/>
          <w:b w:val="1"/>
          <w:bCs w:val="1"/>
          <w:sz w:val="22"/>
          <w:szCs w:val="22"/>
          <w:lang w:val="en-GB"/>
        </w:rPr>
        <w:t>Section 4: Procedural and Document Discrepancies</w:t>
      </w:r>
    </w:p>
    <w:p w:rsidRPr="00BA4DED" w:rsidR="00401F4F" w:rsidP="49D0F8FA" w:rsidRDefault="00BA4DED" w14:paraId="3424E627" w14:textId="5BF6AD1C"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Textual Error in Annex Form (Annex 6):</w:t>
      </w:r>
      <w:r w:rsidRPr="49D0F8FA" w:rsidR="49D0F8FA">
        <w:rPr>
          <w:rFonts w:ascii="Arial" w:hAnsi="Arial" w:eastAsia="Arial" w:cs="Arial"/>
          <w:sz w:val="22"/>
          <w:szCs w:val="22"/>
          <w:lang w:val="en-GB"/>
        </w:rPr>
        <w:t xml:space="preserve"> In Annex No. 6 (Specialist's Statement Form), the template text states that the specialist will perform tasks within the framework of the contract for the "maintenance of the perimeter protection system". Can the Client confirm that this is a typographical error and should read "Maintenance of EDS CB Rapiscan 920CT"? </w:t>
      </w:r>
    </w:p>
    <w:p w:rsidRPr="00BA4DED" w:rsidR="00401F4F" w:rsidP="49D0F8FA" w:rsidRDefault="00BA4DED" w14:paraId="62815A40" w14:textId="72AD1928">
      <w:pPr>
        <w:ind/>
        <w:jc w:val="both"/>
      </w:pPr>
      <w:r w:rsidRPr="49D0F8FA" w:rsidR="49D0F8FA">
        <w:rPr>
          <w:rFonts w:ascii="Arial" w:hAnsi="Arial" w:eastAsia="Arial" w:cs="Arial"/>
          <w:sz w:val="22"/>
          <w:szCs w:val="22"/>
          <w:lang w:val="en-GB"/>
        </w:rPr>
        <w:t xml:space="preserve"> </w:t>
      </w:r>
    </w:p>
    <w:p w:rsidRPr="00BA4DED" w:rsidR="00401F4F" w:rsidP="49D0F8FA" w:rsidRDefault="00BA4DED" w14:paraId="77D5B258" w14:textId="1CF97869">
      <w:pPr>
        <w:ind/>
        <w:jc w:val="both"/>
      </w:pPr>
      <w:r w:rsidRPr="49D0F8FA" w:rsidR="49D0F8FA">
        <w:rPr>
          <w:rFonts w:ascii="Arial" w:hAnsi="Arial" w:eastAsia="Arial" w:cs="Arial"/>
          <w:b w:val="1"/>
          <w:bCs w:val="1"/>
          <w:i w:val="1"/>
          <w:iCs w:val="1"/>
          <w:sz w:val="22"/>
          <w:szCs w:val="22"/>
        </w:rPr>
        <w:t>Komisijas</w:t>
      </w:r>
      <w:r w:rsidRPr="49D0F8FA" w:rsidR="49D0F8FA">
        <w:rPr>
          <w:rFonts w:ascii="Arial" w:hAnsi="Arial" w:eastAsia="Arial" w:cs="Arial"/>
          <w:b w:val="1"/>
          <w:bCs w:val="1"/>
          <w:i w:val="1"/>
          <w:iCs w:val="1"/>
          <w:sz w:val="22"/>
          <w:szCs w:val="22"/>
          <w:lang w:val="en-GB"/>
        </w:rPr>
        <w:t xml:space="preserve"> atbilde</w:t>
      </w:r>
      <w:r w:rsidRPr="49D0F8FA" w:rsidR="49D0F8FA">
        <w:rPr>
          <w:rFonts w:ascii="Arial" w:hAnsi="Arial" w:eastAsia="Arial" w:cs="Arial"/>
          <w:sz w:val="22"/>
          <w:szCs w:val="22"/>
          <w:lang w:val="en-GB"/>
        </w:rPr>
        <w:t>:</w:t>
      </w:r>
    </w:p>
    <w:p w:rsidRPr="00BA4DED" w:rsidR="00401F4F" w:rsidP="49D0F8FA" w:rsidRDefault="00BA4DED" w14:paraId="6FAAC1EB" w14:textId="537AC607">
      <w:pPr>
        <w:ind/>
        <w:jc w:val="both"/>
      </w:pPr>
      <w:r w:rsidRPr="49D0F8FA" w:rsidR="49D0F8FA">
        <w:rPr>
          <w:rFonts w:ascii="Arial" w:hAnsi="Arial" w:eastAsia="Arial" w:cs="Arial"/>
          <w:sz w:val="22"/>
          <w:szCs w:val="22"/>
        </w:rPr>
        <w:t xml:space="preserve">Jā, tā ir drukas kļūda. Pielikuma Nr. 6 formā atsauce uz “perimetra aizsardzības sistēmas uzturēšanu” nav pareiza. Pareizais formulējums ir </w:t>
      </w:r>
      <w:r w:rsidRPr="49D0F8FA" w:rsidR="49D0F8FA">
        <w:rPr>
          <w:rFonts w:ascii="Arial" w:hAnsi="Arial" w:eastAsia="Arial" w:cs="Arial"/>
          <w:sz w:val="22"/>
          <w:szCs w:val="22"/>
        </w:rPr>
        <w:t>“EDS CB Rapiscan 920CT uzturēšana”</w:t>
      </w:r>
      <w:r w:rsidRPr="49D0F8FA" w:rsidR="49D0F8FA">
        <w:rPr>
          <w:rFonts w:ascii="Arial" w:hAnsi="Arial" w:eastAsia="Arial" w:cs="Arial"/>
          <w:sz w:val="22"/>
          <w:szCs w:val="22"/>
        </w:rPr>
        <w:t>.  Kandidāti tiek aicināti, aizpildot Sarunu procedūras kandidātu atlases nolikuma 6.pielikumu, norādīt pareizo sarunu procedūras nosaukumu: “EDS CB Rapiscan 920CT uzturēšana”.</w:t>
      </w:r>
    </w:p>
    <w:p w:rsidRPr="00BA4DED" w:rsidR="00401F4F" w:rsidP="49D0F8FA" w:rsidRDefault="00BA4DED" w14:paraId="6475965E" w14:textId="51795664" w14:noSpellErr="1">
      <w:pPr>
        <w:ind/>
        <w:jc w:val="both"/>
      </w:pPr>
      <w:r w:rsidRPr="49D0F8FA" w:rsidR="49D0F8FA">
        <w:rPr>
          <w:rFonts w:ascii="Arial" w:hAnsi="Arial" w:eastAsia="Arial" w:cs="Arial"/>
          <w:b w:val="1"/>
          <w:bCs w:val="1"/>
          <w:i w:val="1"/>
          <w:iCs w:val="1"/>
          <w:sz w:val="22"/>
          <w:szCs w:val="22"/>
        </w:rPr>
        <w:t>The Committee’s response</w:t>
      </w:r>
      <w:r w:rsidRPr="49D0F8FA" w:rsidR="49D0F8FA">
        <w:rPr>
          <w:rFonts w:ascii="Arial" w:hAnsi="Arial" w:eastAsia="Arial" w:cs="Arial"/>
          <w:sz w:val="22"/>
          <w:szCs w:val="22"/>
          <w:lang w:val="en-US"/>
        </w:rPr>
        <w:t>:</w:t>
      </w:r>
    </w:p>
    <w:p w:rsidRPr="00BA4DED" w:rsidR="00401F4F" w:rsidP="49D0F8FA" w:rsidRDefault="00BA4DED" w14:paraId="1C57057A" w14:textId="00245D8B" w14:noSpellErr="1">
      <w:pPr>
        <w:ind/>
        <w:jc w:val="both"/>
      </w:pPr>
      <w:r w:rsidRPr="49D0F8FA" w:rsidR="49D0F8FA">
        <w:rPr>
          <w:rFonts w:ascii="Arial" w:hAnsi="Arial" w:eastAsia="Arial" w:cs="Arial"/>
          <w:i w:val="1"/>
          <w:iCs w:val="1"/>
          <w:sz w:val="22"/>
          <w:szCs w:val="22"/>
        </w:rPr>
        <w:t>Yes, this is a typographical error. The reference to “maintenance of the perimeter protection system” in the form in Annex No. 6 is incorrect. The correct wording is “Maintenance of the EDS CB Rapiscan 920CT”. Candidates are requested, when completing Annex No. 6 to the Terms of Reference for the Selection of Candidates for the Negotiated Procedure, to state the correct name of the Negotiated Procedure: “Maintenance of the EDS CB Rapiscan 920CT”.</w:t>
      </w:r>
    </w:p>
    <w:p w:rsidRPr="00BA4DED" w:rsidR="00401F4F" w:rsidP="49D0F8FA" w:rsidRDefault="00BA4DED" w14:paraId="0378AE75" w14:textId="359888A9">
      <w:pPr>
        <w:pStyle w:val="Normal"/>
        <w:ind/>
        <w:jc w:val="both"/>
      </w:pPr>
    </w:p>
    <w:p w:rsidRPr="00BA4DED" w:rsidR="00401F4F" w:rsidP="49D0F8FA" w:rsidRDefault="00BA4DED" w14:paraId="06E270D1" w14:textId="4A0228AF">
      <w:pPr>
        <w:ind/>
        <w:jc w:val="both"/>
      </w:pPr>
      <w:r w:rsidRPr="49D0F8FA" w:rsidR="49D0F8FA">
        <w:rPr>
          <w:rFonts w:ascii="Arial" w:hAnsi="Arial" w:eastAsia="Arial" w:cs="Arial"/>
          <w:sz w:val="22"/>
          <w:szCs w:val="22"/>
        </w:rPr>
        <w:t xml:space="preserve"> </w:t>
      </w:r>
    </w:p>
    <w:p w:rsidRPr="00BA4DED" w:rsidR="00401F4F" w:rsidP="49D0F8FA" w:rsidRDefault="00BA4DED" w14:paraId="162EF71F" w14:textId="5B81D701" w14:noSpellErr="1">
      <w:pPr>
        <w:pStyle w:val="ListParagraph"/>
        <w:numPr>
          <w:ilvl w:val="0"/>
          <w:numId w:val="1"/>
        </w:numPr>
        <w:ind/>
        <w:jc w:val="both"/>
        <w:rPr>
          <w:rFonts w:ascii="Calibri" w:hAnsi="Calibri" w:eastAsia="Calibri" w:cs="Calibri" w:asciiTheme="minorAscii" w:hAnsiTheme="minorAscii" w:eastAsiaTheme="minorAscii" w:cstheme="minorAscii"/>
          <w:sz w:val="24"/>
          <w:szCs w:val="24"/>
        </w:rPr>
      </w:pPr>
      <w:r w:rsidRPr="49D0F8FA" w:rsidR="49D0F8FA">
        <w:rPr>
          <w:rFonts w:ascii="Arial" w:hAnsi="Arial" w:eastAsia="Arial" w:cs="Arial"/>
          <w:b w:val="1"/>
          <w:bCs w:val="1"/>
          <w:sz w:val="22"/>
          <w:szCs w:val="22"/>
          <w:lang w:val="en-GB"/>
        </w:rPr>
        <w:t>Subcontractor Declaration Stage:</w:t>
      </w:r>
      <w:r w:rsidRPr="49D0F8FA" w:rsidR="49D0F8FA">
        <w:rPr>
          <w:rFonts w:ascii="Arial" w:hAnsi="Arial" w:eastAsia="Arial" w:cs="Arial"/>
          <w:sz w:val="22"/>
          <w:szCs w:val="22"/>
          <w:lang w:val="en-GB"/>
        </w:rPr>
        <w:t xml:space="preserve"> </w:t>
      </w:r>
      <w:r w:rsidRPr="49D0F8FA" w:rsidR="49D0F8FA">
        <w:rPr>
          <w:rFonts w:ascii="Arial" w:hAnsi="Arial" w:eastAsia="Arial" w:cs="Arial"/>
          <w:sz w:val="22"/>
          <w:szCs w:val="22"/>
          <w:lang w:val="en-GB"/>
        </w:rPr>
        <w:t>Is the submission of subcontractor information strictly required in Stage 1, or can Candidates utilize the exception to submit subcontractor details during Stage 2 if the technical specifications are not fully released in Stage 1</w:t>
      </w:r>
      <w:r w:rsidRPr="49D0F8FA" w:rsidR="49D0F8FA">
        <w:rPr>
          <w:rFonts w:ascii="Arial" w:hAnsi="Arial" w:eastAsia="Arial" w:cs="Arial"/>
          <w:sz w:val="22"/>
          <w:szCs w:val="22"/>
          <w:lang w:val="en-GB"/>
        </w:rPr>
        <w:t>?</w:t>
      </w:r>
    </w:p>
    <w:p w:rsidRPr="00BA4DED" w:rsidR="00401F4F" w:rsidP="49D0F8FA" w:rsidRDefault="00BA4DED" w14:paraId="062B4A36" w14:textId="681AD734">
      <w:pPr>
        <w:ind/>
        <w:jc w:val="both"/>
      </w:pPr>
      <w:r w:rsidRPr="49D0F8FA" w:rsidR="49D0F8FA">
        <w:rPr>
          <w:rFonts w:ascii="Arial" w:hAnsi="Arial" w:eastAsia="Arial" w:cs="Arial"/>
          <w:b w:val="1"/>
          <w:bCs w:val="1"/>
          <w:i w:val="1"/>
          <w:iCs w:val="1"/>
          <w:sz w:val="22"/>
          <w:szCs w:val="22"/>
        </w:rPr>
        <w:t>Komisijas</w:t>
      </w:r>
      <w:r w:rsidRPr="49D0F8FA" w:rsidR="49D0F8FA">
        <w:rPr>
          <w:rFonts w:ascii="Arial" w:hAnsi="Arial" w:eastAsia="Arial" w:cs="Arial"/>
          <w:b w:val="1"/>
          <w:bCs w:val="1"/>
          <w:i w:val="1"/>
          <w:iCs w:val="1"/>
          <w:sz w:val="22"/>
          <w:szCs w:val="22"/>
          <w:lang w:val="en-GB"/>
        </w:rPr>
        <w:t xml:space="preserve"> atbilde</w:t>
      </w:r>
      <w:r w:rsidRPr="49D0F8FA" w:rsidR="49D0F8FA">
        <w:rPr>
          <w:rFonts w:ascii="Arial" w:hAnsi="Arial" w:eastAsia="Arial" w:cs="Arial"/>
          <w:sz w:val="22"/>
          <w:szCs w:val="22"/>
          <w:lang w:val="en-GB"/>
        </w:rPr>
        <w:t>:</w:t>
      </w:r>
    </w:p>
    <w:p w:rsidRPr="00BA4DED" w:rsidR="00401F4F" w:rsidP="49D0F8FA" w:rsidRDefault="00BA4DED" w14:paraId="76F9FC7B" w14:textId="1753FC26">
      <w:pPr>
        <w:ind/>
        <w:jc w:val="both"/>
      </w:pPr>
      <w:r w:rsidRPr="49D0F8FA" w:rsidR="49D0F8FA">
        <w:rPr>
          <w:rFonts w:ascii="Arial" w:hAnsi="Arial" w:eastAsia="Arial" w:cs="Arial"/>
          <w:sz w:val="22"/>
          <w:szCs w:val="22"/>
        </w:rPr>
        <w:t xml:space="preserve">Atbilstoši Sarunu procedūras kandidātu atlases nolikuma 6.1.punktā noteiktajam, iesniedzot pieteikumu Sarunu procedūras </w:t>
      </w:r>
      <w:r w:rsidRPr="49D0F8FA" w:rsidR="49D0F8FA">
        <w:rPr>
          <w:rFonts w:ascii="Arial" w:hAnsi="Arial" w:eastAsia="Arial" w:cs="Arial"/>
          <w:sz w:val="22"/>
          <w:szCs w:val="22"/>
          <w:u w:val="single"/>
        </w:rPr>
        <w:t>pirmajā kārtā</w:t>
      </w:r>
      <w:r w:rsidRPr="49D0F8FA" w:rsidR="49D0F8FA">
        <w:rPr>
          <w:rFonts w:ascii="Arial" w:hAnsi="Arial" w:eastAsia="Arial" w:cs="Arial"/>
          <w:sz w:val="22"/>
          <w:szCs w:val="22"/>
        </w:rPr>
        <w:t xml:space="preserve">, </w:t>
      </w:r>
      <w:r w:rsidRPr="49D0F8FA" w:rsidR="49D0F8FA">
        <w:rPr>
          <w:rFonts w:ascii="Arial" w:hAnsi="Arial" w:eastAsia="Arial" w:cs="Arial"/>
          <w:b w:val="1"/>
          <w:bCs w:val="1"/>
          <w:sz w:val="22"/>
          <w:szCs w:val="22"/>
        </w:rPr>
        <w:t xml:space="preserve">ir obligāti jānorāda apakšuzņēmēji </w:t>
      </w:r>
      <w:r w:rsidRPr="49D0F8FA" w:rsidR="49D0F8FA">
        <w:rPr>
          <w:rFonts w:ascii="Arial" w:hAnsi="Arial" w:eastAsia="Arial" w:cs="Arial"/>
          <w:b w:val="1"/>
          <w:bCs w:val="1"/>
          <w:sz w:val="22"/>
          <w:szCs w:val="22"/>
        </w:rPr>
        <w:t xml:space="preserve">un </w:t>
      </w:r>
      <w:r w:rsidRPr="49D0F8FA" w:rsidR="49D0F8FA">
        <w:rPr>
          <w:rFonts w:ascii="Arial" w:hAnsi="Arial" w:eastAsia="Arial" w:cs="Arial"/>
          <w:b w:val="1"/>
          <w:bCs w:val="1"/>
          <w:sz w:val="22"/>
          <w:szCs w:val="22"/>
        </w:rPr>
        <w:t>personas</w:t>
      </w:r>
      <w:r w:rsidRPr="49D0F8FA" w:rsidR="49D0F8FA">
        <w:rPr>
          <w:rFonts w:ascii="Arial" w:hAnsi="Arial" w:eastAsia="Arial" w:cs="Arial"/>
          <w:b w:val="1"/>
          <w:bCs w:val="1"/>
          <w:sz w:val="22"/>
          <w:szCs w:val="22"/>
        </w:rPr>
        <w:t>,</w:t>
      </w:r>
      <w:r w:rsidRPr="49D0F8FA" w:rsidR="49D0F8FA">
        <w:rPr>
          <w:rFonts w:ascii="Arial" w:hAnsi="Arial" w:eastAsia="Arial" w:cs="Arial"/>
          <w:b w:val="1"/>
          <w:bCs w:val="1"/>
          <w:sz w:val="22"/>
          <w:szCs w:val="22"/>
        </w:rPr>
        <w:t xml:space="preserve"> uz kuru iespējām Kandidāts balstās,</w:t>
      </w:r>
      <w:r w:rsidRPr="49D0F8FA" w:rsidR="49D0F8FA">
        <w:rPr>
          <w:rFonts w:ascii="Arial" w:hAnsi="Arial" w:eastAsia="Arial" w:cs="Arial"/>
          <w:sz w:val="22"/>
          <w:szCs w:val="22"/>
        </w:rPr>
        <w:t xml:space="preserve"> </w:t>
      </w:r>
      <w:r w:rsidRPr="49D0F8FA" w:rsidR="49D0F8FA">
        <w:rPr>
          <w:rFonts w:ascii="Arial" w:hAnsi="Arial" w:eastAsia="Arial" w:cs="Arial"/>
          <w:b w:val="1"/>
          <w:bCs w:val="1"/>
          <w:sz w:val="22"/>
          <w:szCs w:val="22"/>
        </w:rPr>
        <w:t>lai apliecinātu, ka tā kvalifikācija atbilst Nolikumā noteiktajām prasībām</w:t>
      </w:r>
      <w:r w:rsidRPr="49D0F8FA" w:rsidR="49D0F8FA">
        <w:rPr>
          <w:rFonts w:ascii="Arial" w:hAnsi="Arial" w:eastAsia="Arial" w:cs="Arial"/>
          <w:sz w:val="22"/>
          <w:szCs w:val="22"/>
        </w:rPr>
        <w:t>. Gadījumā, ja apakšuzņēmēju iesaisti, iesniedzot pieteikumu Sarunu procedūras 1.kārtā, Kandidāts nevar paredzēt, jo Sarunu procedūras 1.kārtā netiek izsniegta tehniskā specifikācija pilnā apmērā, citus piesaistāmos apakšuzņēmējus Kandidāts drīkstēs norādīt Sarunu procedūras 2.kārtā, ja Kandidāts tiks uzaicināts dalībai Sarunu procedūras 2.kārtā (Sarunu procedūras kandidātu atlases nolikuma 6.2.punkts).</w:t>
      </w:r>
    </w:p>
    <w:p w:rsidRPr="00BA4DED" w:rsidR="00401F4F" w:rsidP="49D0F8FA" w:rsidRDefault="00BA4DED" w14:paraId="0AF1A0F0" w14:textId="6FD6DE43">
      <w:pPr>
        <w:ind/>
        <w:jc w:val="both"/>
      </w:pPr>
      <w:r w:rsidRPr="49D0F8FA" w:rsidR="49D0F8FA">
        <w:rPr>
          <w:rFonts w:ascii="Arial" w:hAnsi="Arial" w:eastAsia="Arial" w:cs="Arial"/>
          <w:sz w:val="22"/>
          <w:szCs w:val="22"/>
        </w:rPr>
        <w:t xml:space="preserve"> </w:t>
      </w:r>
    </w:p>
    <w:p w:rsidRPr="00BA4DED" w:rsidR="00401F4F" w:rsidP="49D0F8FA" w:rsidRDefault="00BA4DED" w14:paraId="5D4AD132" w14:textId="04B29C9B" w14:noSpellErr="1">
      <w:pPr>
        <w:ind/>
        <w:jc w:val="both"/>
      </w:pPr>
      <w:r w:rsidRPr="49D0F8FA" w:rsidR="49D0F8FA">
        <w:rPr>
          <w:rFonts w:ascii="Arial" w:hAnsi="Arial" w:eastAsia="Arial" w:cs="Arial"/>
          <w:b w:val="1"/>
          <w:bCs w:val="1"/>
          <w:i w:val="1"/>
          <w:iCs w:val="1"/>
          <w:sz w:val="22"/>
          <w:szCs w:val="22"/>
        </w:rPr>
        <w:t>The Committee’s response</w:t>
      </w:r>
      <w:r w:rsidRPr="49D0F8FA" w:rsidR="49D0F8FA">
        <w:rPr>
          <w:rFonts w:ascii="Arial" w:hAnsi="Arial" w:eastAsia="Arial" w:cs="Arial"/>
          <w:sz w:val="22"/>
          <w:szCs w:val="22"/>
          <w:lang w:val="en-US"/>
        </w:rPr>
        <w:t>:</w:t>
      </w:r>
    </w:p>
    <w:p w:rsidRPr="00BA4DED" w:rsidR="00401F4F" w:rsidP="49D0F8FA" w:rsidRDefault="00BA4DED" w14:paraId="75777381" w14:textId="7E11EAEA">
      <w:pPr>
        <w:ind/>
        <w:jc w:val="both"/>
      </w:pPr>
      <w:r w:rsidRPr="49D0F8FA" w:rsidR="49D0F8FA">
        <w:rPr>
          <w:rFonts w:ascii="Arial" w:hAnsi="Arial" w:eastAsia="Arial" w:cs="Arial"/>
          <w:i w:val="1"/>
          <w:iCs w:val="1"/>
          <w:sz w:val="22"/>
          <w:szCs w:val="22"/>
        </w:rPr>
        <w:t xml:space="preserve">Pursuant to Article 6.1 of the Terms of Reference for the Selection of Candidates for the Negotiated Procedure, when submitting an application in the </w:t>
      </w:r>
      <w:r w:rsidRPr="49D0F8FA" w:rsidR="49D0F8FA">
        <w:rPr>
          <w:rFonts w:ascii="Arial" w:hAnsi="Arial" w:eastAsia="Arial" w:cs="Arial"/>
          <w:i w:val="1"/>
          <w:iCs w:val="1"/>
          <w:sz w:val="22"/>
          <w:szCs w:val="22"/>
          <w:u w:val="single"/>
        </w:rPr>
        <w:t>first stage</w:t>
      </w:r>
      <w:r w:rsidRPr="49D0F8FA" w:rsidR="49D0F8FA">
        <w:rPr>
          <w:rFonts w:ascii="Arial" w:hAnsi="Arial" w:eastAsia="Arial" w:cs="Arial"/>
          <w:i w:val="1"/>
          <w:iCs w:val="1"/>
          <w:sz w:val="22"/>
          <w:szCs w:val="22"/>
        </w:rPr>
        <w:t xml:space="preserve"> of the Negotiated Procedure, </w:t>
      </w:r>
      <w:r w:rsidRPr="49D0F8FA" w:rsidR="49D0F8FA">
        <w:rPr>
          <w:rFonts w:ascii="Arial" w:hAnsi="Arial" w:eastAsia="Arial" w:cs="Arial"/>
          <w:b w:val="1"/>
          <w:bCs w:val="1"/>
          <w:i w:val="1"/>
          <w:iCs w:val="1"/>
          <w:sz w:val="22"/>
          <w:szCs w:val="22"/>
        </w:rPr>
        <w:t>it is mandatory to indicate the subcontractors and entities on whose capacities the Candidate relies to demonstrate that the Candidate’s qualifications comply with the requirements set out in the Terms of Reference</w:t>
      </w:r>
      <w:r w:rsidRPr="49D0F8FA" w:rsidR="49D0F8FA">
        <w:rPr>
          <w:rFonts w:ascii="Arial" w:hAnsi="Arial" w:eastAsia="Arial" w:cs="Arial"/>
          <w:i w:val="1"/>
          <w:iCs w:val="1"/>
          <w:sz w:val="22"/>
          <w:szCs w:val="22"/>
        </w:rPr>
        <w:t>.</w:t>
      </w:r>
      <w:r w:rsidRPr="49D0F8FA" w:rsidR="49D0F8FA">
        <w:rPr>
          <w:rFonts w:ascii="Arial" w:hAnsi="Arial" w:eastAsia="Arial" w:cs="Arial"/>
          <w:i w:val="1"/>
          <w:iCs w:val="1"/>
          <w:sz w:val="22"/>
          <w:szCs w:val="22"/>
        </w:rPr>
        <w:t xml:space="preserve"> </w:t>
      </w:r>
      <w:r w:rsidRPr="49D0F8FA" w:rsidR="49D0F8FA">
        <w:rPr>
          <w:rFonts w:ascii="Arial" w:hAnsi="Arial" w:eastAsia="Arial" w:cs="Arial"/>
          <w:i w:val="1"/>
          <w:iCs w:val="1"/>
          <w:sz w:val="22"/>
          <w:szCs w:val="22"/>
        </w:rPr>
        <w:t>If, when submitting an application in the first stage of the Negotiated Procedure, the Candidate cannot anticipate the involvement of certain subcontractors because the full technical specification is not provided at the first stage of the Negotiated Procedure, the Candidate may indicate additional subcontractors to be engaged in the second stage of the Negotiated Procedure, provided that the Candidate is invited to participate in the second stage of the Negotiated Procedure (Article 6.2 of the Terms of Reference for the Selection of Candidates for the Negotiated Procedure).</w:t>
      </w:r>
    </w:p>
    <w:p w:rsidRPr="00BA4DED" w:rsidR="00401F4F" w:rsidP="49D0F8FA" w:rsidRDefault="00BA4DED" w14:paraId="27566C20" w14:textId="2E9B1C57">
      <w:pPr>
        <w:ind/>
      </w:pPr>
    </w:p>
    <w:p w:rsidRPr="00BA4DED" w:rsidR="00401F4F" w:rsidP="49D0F8FA" w:rsidRDefault="00BA4DED" w14:paraId="2E74A9DC" w14:textId="3EE010E8">
      <w:pPr>
        <w:ind/>
      </w:pPr>
      <w:r w:rsidRPr="49D0F8FA" w:rsidR="49D0F8FA">
        <w:rPr>
          <w:rFonts w:ascii="Arial" w:hAnsi="Arial" w:eastAsia="Arial" w:cs="Arial"/>
          <w:sz w:val="22"/>
          <w:szCs w:val="22"/>
        </w:rPr>
        <w:t xml:space="preserve"> </w:t>
      </w:r>
    </w:p>
    <w:p w:rsidRPr="00BA4DED" w:rsidR="00401F4F" w:rsidP="49D0F8FA" w:rsidRDefault="00BA4DED" w14:paraId="7318E36E" w14:textId="01BD0401" w14:noSpellErr="1">
      <w:pPr>
        <w:ind/>
        <w:jc w:val="both"/>
      </w:pPr>
      <w:r w:rsidRPr="49D0F8FA" w:rsidR="49D0F8FA">
        <w:rPr>
          <w:rFonts w:ascii="Arial" w:hAnsi="Arial" w:eastAsia="Arial" w:cs="Arial"/>
          <w:i w:val="1"/>
          <w:iCs w:val="1"/>
          <w:sz w:val="22"/>
          <w:szCs w:val="22"/>
          <w:lang w:val="en-GB"/>
        </w:rPr>
        <w:t>The text of the provided answers</w:t>
      </w:r>
      <w:r w:rsidRPr="49D0F8FA" w:rsidR="49D0F8FA">
        <w:rPr>
          <w:rFonts w:ascii="Arial" w:hAnsi="Arial" w:eastAsia="Arial" w:cs="Arial"/>
          <w:sz w:val="22"/>
          <w:szCs w:val="22"/>
          <w:lang w:val="en-GB"/>
        </w:rPr>
        <w:t xml:space="preserve"> </w:t>
      </w:r>
      <w:r w:rsidRPr="49D0F8FA" w:rsidR="49D0F8FA">
        <w:rPr>
          <w:rFonts w:ascii="Arial" w:hAnsi="Arial" w:eastAsia="Arial" w:cs="Arial"/>
          <w:i w:val="1"/>
          <w:iCs w:val="1"/>
          <w:sz w:val="22"/>
          <w:szCs w:val="22"/>
          <w:lang w:val="en-GB"/>
        </w:rPr>
        <w:t>in English is a translation from Latvian for the convenience of Applicants. In case of conflict between the answers in Latvian and in English, priority is given to the answers in Latvian.</w:t>
      </w:r>
    </w:p>
    <w:p w:rsidR="49D0F8FA" w:rsidP="49D0F8FA" w:rsidRDefault="49D0F8FA" w14:paraId="32602AAD" w14:noSpellErr="1">
      <w:pPr>
        <w:pStyle w:val="Normal"/>
        <w:ind w:firstLine="720"/>
        <w:jc w:val="both"/>
      </w:pPr>
    </w:p>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14:noSpellErr="1">
      <w:pPr>
        <w:rPr>
          <w:rFonts w:ascii="Arial" w:hAnsi="Arial" w:eastAsia="Calibri" w:cs="Arial"/>
          <w:color w:val="000000"/>
          <w:sz w:val="22"/>
          <w:szCs w:val="22"/>
          <w:lang w:val="lv-LV" w:eastAsia="lv-LV"/>
        </w:rPr>
      </w:pPr>
      <w:r w:rsidRPr="49D0F8FA" w:rsidR="49D0F8FA">
        <w:rPr>
          <w:rFonts w:ascii="Arial,Calibri" w:hAnsi="Arial,Calibri" w:eastAsia="Arial,Calibri" w:cs="Arial,Calibri"/>
          <w:color w:val="000000" w:themeColor="text1" w:themeTint="FF" w:themeShade="FF"/>
          <w:sz w:val="22"/>
          <w:szCs w:val="22"/>
          <w:lang w:val="lv-LV" w:eastAsia="lv-LV"/>
        </w:rPr>
        <w:t xml:space="preserve">Ar cieņu, </w:t>
      </w:r>
    </w:p>
    <w:p w:rsidR="49D0F8FA" w:rsidP="49D0F8FA" w:rsidRDefault="49D0F8FA" w14:paraId="74E16EEA" w14:textId="0B788C5A" w14:noSpellErr="1">
      <w:pPr>
        <w:pStyle w:val="Normal"/>
      </w:pPr>
      <w:r w:rsidRPr="49D0F8FA" w:rsidR="49D0F8FA">
        <w:rPr>
          <w:rFonts w:ascii="Arial,Calibri" w:hAnsi="Arial,Calibri" w:eastAsia="Arial,Calibri" w:cs="Arial,Calibri"/>
          <w:color w:val="000000" w:themeColor="text1" w:themeTint="FF" w:themeShade="FF"/>
          <w:sz w:val="22"/>
          <w:szCs w:val="22"/>
          <w:lang w:val="lv-LV" w:eastAsia="lv-LV"/>
        </w:rPr>
        <w:t>Komisijas priekšsēdētāja</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452A36"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452A36"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Aleksandrs Kuharjonoks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52A36"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 Aare</w:t>
      </w:r>
      <w:r w:rsidRPr="00401F4F" w:rsidR="00401F4F">
        <w:rPr>
          <w:rFonts w:ascii="Times New Roman" w:hAnsi="Times New Roman" w:eastAsia="Times New Roman" w:cs="Times New Roman"/>
          <w:i/>
          <w:iCs/>
          <w:sz w:val="20"/>
          <w:szCs w:val="20"/>
          <w:lang w:val="lv-LV"/>
        </w:rPr>
        <w:t xml:space="preserve">, </w:t>
      </w:r>
      <w:sdt>
        <w:sdtPr>
          <w:rPr>
            <w:rFonts w:ascii="Times New Roman" w:hAnsi="Times New Roman" w:eastAsia="Times New Roman" w:cs="Times New Roman"/>
            <w:i/>
            <w:iCs/>
            <w:color w:val="000000"/>
            <w:sz w:val="20"/>
            <w:szCs w:val="20"/>
            <w:lang w:val="lv-LV" w:eastAsia="lv-LV"/>
          </w:rPr>
          <w:alias w:val="Sagatavotāja telefona numurs "/>
          <w:tag w:val="DraftsmanPhoneNumber"/>
          <w:id w:val="-2101470363"/>
          <w:lock w:val="contentLocked"/>
          <w:placeholder>
            <w:docPart w:val="06BBE338F92E4D1B8A0EE3DAD6EF39CA"/>
          </w:placeholder>
          <w:showingPlcHdr/>
          <w15:color w:val="FF0000"/>
          <w:text/>
        </w:sdtPr>
        <w:sdtEndPr/>
        <w:sdtContent>
          <w:r w:rsidRPr="00C67AAD" w:rsidR="00401F4F">
            <w:rPr>
              <w:rFonts w:ascii="Arial" w:hAnsi="Arial" w:eastAsia="Calibri" w:cs="Arial"/>
              <w:i/>
              <w:iCs/>
              <w:color w:val="808080"/>
              <w:sz w:val="20"/>
              <w:szCs w:val="20"/>
              <w:lang w:val="lv-LV" w:eastAsia="lv-LV"/>
            </w:rPr>
            <w:t>Click or tap here to enter text.</w:t>
          </w:r>
        </w:sdtContent>
      </w:sdt>
    </w:p>
    <w:p w:rsidRPr="00401F4F" w:rsidR="00401F4F" w:rsidP="00401F4F" w:rsidRDefault="00452A36"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Sandra.Aare@riga-airport.com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8"/>
      <w:pgSz w:w="11900" w:h="16840" w:orient="portrait"/>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2930" w:rsidP="00401F4F" w:rsidRDefault="00932930" w14:paraId="0228AA1C" w14:textId="77777777">
      <w:r>
        <w:separator/>
      </w:r>
    </w:p>
  </w:endnote>
  <w:endnote w:type="continuationSeparator" w:id="0">
    <w:p w:rsidR="00932930" w:rsidP="00401F4F" w:rsidRDefault="00932930" w14:paraId="7F37E2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2930" w:rsidP="00401F4F" w:rsidRDefault="00932930" w14:paraId="4E8FCD72" w14:textId="77777777">
      <w:r>
        <w:separator/>
      </w:r>
    </w:p>
  </w:footnote>
  <w:footnote w:type="continuationSeparator" w:id="0">
    <w:p w:rsidR="00932930" w:rsidP="00401F4F" w:rsidRDefault="00932930" w14:paraId="361570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4309" w:rsidP="00DA51DC" w:rsidRDefault="00D84309" w14:paraId="3FBEFD17" w14:textId="63501FF1">
    <w:pPr>
      <w:pStyle w:val="Header"/>
      <w:jc w:val="center"/>
    </w:pPr>
  </w:p>
</w:hdr>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E84"/>
    <w:rsid w:val="00E43A8B"/>
    <w:rsid w:val="00E97BBF"/>
    <w:rsid w:val="49D0F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styleId="HeaderChar" w:customStyle="1">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styleId="FooterChar" w:customStyle="1">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hAnsi="Times New Roman" w:eastAsia="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styleId="normaltextrun" w:customStyle="1">
    <w:name w:val="normaltextrun"/>
    <w:basedOn w:val="DefaultParagraphFont"/>
    <w:rsid w:val="00BA4D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4.xml" Id="rId14" /><Relationship Type="http://schemas.openxmlformats.org/officeDocument/2006/relationships/numbering" Target="/word/numbering.xml" Id="R539c37fff8a6455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745B9FF5E64729870321BB30F01D0F"/>
        <w:category>
          <w:name w:val="General"/>
          <w:gallery w:val="placeholder"/>
        </w:category>
        <w:types>
          <w:type w:val="bbPlcHdr"/>
        </w:types>
        <w:behaviors>
          <w:behavior w:val="content"/>
        </w:behaviors>
        <w:guid w:val="{0229F7BA-690D-45D4-B039-66FD62BB8D18}"/>
      </w:docPartPr>
      <w:docPartBody>
        <w:p w:rsidR="00914AEE" w:rsidRDefault="00CF4D0D" w:rsidP="00CF4D0D">
          <w:pPr>
            <w:pStyle w:val="35745B9FF5E64729870321BB30F01D0F1"/>
          </w:pPr>
          <w:r w:rsidRPr="00C67AAD">
            <w:rPr>
              <w:rFonts w:ascii="Arial" w:eastAsia="Calibri" w:hAnsi="Arial" w:cs="Arial"/>
              <w:b/>
              <w:bCs/>
              <w:color w:val="808080"/>
            </w:rPr>
            <w:t>Click or tap here to enter text.</w:t>
          </w:r>
        </w:p>
      </w:docPartBody>
    </w:docPart>
    <w:docPart>
      <w:docPartPr>
        <w:name w:val="9114BFC831AD4E558A61C7A92FA61AFE"/>
        <w:category>
          <w:name w:val="General"/>
          <w:gallery w:val="placeholder"/>
        </w:category>
        <w:types>
          <w:type w:val="bbPlcHdr"/>
        </w:types>
        <w:behaviors>
          <w:behavior w:val="content"/>
        </w:behaviors>
        <w:guid w:val="{EFF093D2-8DB9-4138-B5E0-EC06658EB51E}"/>
      </w:docPartPr>
      <w:docPartBody>
        <w:p w:rsidR="00914AEE" w:rsidRDefault="00CF4D0D" w:rsidP="00CF4D0D">
          <w:pPr>
            <w:pStyle w:val="9114BFC831AD4E558A61C7A92FA61AFE1"/>
          </w:pPr>
          <w:r w:rsidRPr="00E97BBF">
            <w:rPr>
              <w:rFonts w:ascii="Arial" w:eastAsia="Calibri" w:hAnsi="Arial" w:cs="Arial"/>
              <w:i/>
              <w:iCs/>
              <w:color w:val="808080"/>
            </w:rPr>
            <w:t>Click or tap here to enter text.</w:t>
          </w:r>
        </w:p>
      </w:docPartBody>
    </w:docPart>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E5B338476D8D46C1B3FB5FA258158319"/>
        <w:category>
          <w:name w:val="General"/>
          <w:gallery w:val="placeholder"/>
        </w:category>
        <w:types>
          <w:type w:val="bbPlcHdr"/>
        </w:types>
        <w:behaviors>
          <w:behavior w:val="content"/>
        </w:behaviors>
        <w:guid w:val="{2D6024C6-3A40-4F0A-9308-3DFCD591876B}"/>
      </w:docPartPr>
      <w:docPartBody>
        <w:p w:rsidR="00914AEE" w:rsidRDefault="00BD4D83" w:rsidP="00BD4D83">
          <w:pPr>
            <w:pStyle w:val="E5B338476D8D46C1B3FB5FA258158319"/>
          </w:pPr>
          <w:r w:rsidRPr="00916801">
            <w:rPr>
              <w:rStyle w:val="PlaceholderText"/>
            </w:rPr>
            <w:t>Enter any content that you want to repeat, including other content controls. You can also insert this control around table rows in order to repeat parts of a table.</w:t>
          </w:r>
        </w:p>
      </w:docPartBody>
    </w:docPart>
    <w:docPart>
      <w:docPartPr>
        <w:name w:val="0B1F11278281442DBAEED93C21AFB87C"/>
        <w:category>
          <w:name w:val="General"/>
          <w:gallery w:val="placeholder"/>
        </w:category>
        <w:types>
          <w:type w:val="bbPlcHdr"/>
        </w:types>
        <w:behaviors>
          <w:behavior w:val="content"/>
        </w:behaviors>
        <w:guid w:val="{7D1873DD-C5E6-4A4B-8CEE-839358A07AB7}"/>
      </w:docPartPr>
      <w:docPartBody>
        <w:p w:rsidR="00914AEE" w:rsidRDefault="00CF4D0D" w:rsidP="00CF4D0D">
          <w:pPr>
            <w:pStyle w:val="0B1F11278281442DBAEED93C21AFB87C1"/>
          </w:pPr>
          <w:r w:rsidRPr="00C67AAD">
            <w:rPr>
              <w:rFonts w:ascii="Arial" w:eastAsia="Calibri" w:hAnsi="Arial" w:cs="Arial"/>
              <w:color w:val="808080"/>
            </w:rPr>
            <w:t>Click or tap to enter a date.</w:t>
          </w:r>
        </w:p>
      </w:docPartBody>
    </w:docPart>
    <w:docPart>
      <w:docPartPr>
        <w:name w:val="9C3B7CEA581B47A794794A6D323E3E46"/>
        <w:category>
          <w:name w:val="General"/>
          <w:gallery w:val="placeholder"/>
        </w:category>
        <w:types>
          <w:type w:val="bbPlcHdr"/>
        </w:types>
        <w:behaviors>
          <w:behavior w:val="content"/>
        </w:behaviors>
        <w:guid w:val="{205CE565-BA0A-490D-AEFC-95C000D47169}"/>
      </w:docPartPr>
      <w:docPartBody>
        <w:p w:rsidR="00914AEE" w:rsidRDefault="00CF4D0D" w:rsidP="00CF4D0D">
          <w:pPr>
            <w:pStyle w:val="9C3B7CEA581B47A794794A6D323E3E461"/>
          </w:pPr>
          <w:r w:rsidRPr="00C67AAD">
            <w:rPr>
              <w:rFonts w:ascii="Arial" w:eastAsia="Calibri" w:hAnsi="Arial" w:cs="Arial"/>
              <w:color w:val="808080"/>
            </w:rPr>
            <w:t>Click or tap here to enter text.</w:t>
          </w:r>
        </w:p>
      </w:docPartBody>
    </w:docPart>
    <w:docPart>
      <w:docPartPr>
        <w:name w:val="BBB3E38C33794830903A1C416C003CA4"/>
        <w:category>
          <w:name w:val="General"/>
          <w:gallery w:val="placeholder"/>
        </w:category>
        <w:types>
          <w:type w:val="bbPlcHdr"/>
        </w:types>
        <w:behaviors>
          <w:behavior w:val="content"/>
        </w:behaviors>
        <w:guid w:val="{618F7C06-B85E-403A-9076-74DA38BEA009}"/>
      </w:docPartPr>
      <w:docPartBody>
        <w:p w:rsidR="00914AEE" w:rsidRDefault="00CF4D0D" w:rsidP="00CF4D0D">
          <w:pPr>
            <w:pStyle w:val="BBB3E38C33794830903A1C416C003CA41"/>
          </w:pPr>
          <w:r w:rsidRPr="00C67AAD">
            <w:rPr>
              <w:rFonts w:ascii="Arial" w:eastAsia="Calibri" w:hAnsi="Arial" w:cs="Arial"/>
              <w:i/>
              <w:iCs/>
              <w:color w:val="808080"/>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
      <w:docPartPr>
        <w:name w:val="70B72107B2404472B1BF67D4DD9FF429"/>
        <w:category>
          <w:name w:val="General"/>
          <w:gallery w:val="placeholder"/>
        </w:category>
        <w:types>
          <w:type w:val="bbPlcHdr"/>
        </w:types>
        <w:behaviors>
          <w:behavior w:val="content"/>
        </w:behaviors>
        <w:guid w:val="{6A78BDD3-7324-4251-8DE2-D31B7E7150E7}"/>
      </w:docPartPr>
      <w:docPartBody>
        <w:p w:rsidR="00914AEE" w:rsidRDefault="00CF4D0D" w:rsidP="00CF4D0D">
          <w:pPr>
            <w:pStyle w:val="70B72107B2404472B1BF67D4DD9FF4291"/>
          </w:pPr>
          <w:r w:rsidRPr="00C67AAD">
            <w:rPr>
              <w:rFonts w:ascii="Arial" w:eastAsia="Calibri" w:hAnsi="Arial" w:cs="Arial"/>
              <w:i/>
              <w:iCs/>
              <w:color w:val="808080"/>
              <w:sz w:val="20"/>
              <w:szCs w:val="20"/>
              <w:lang w:val="lv-LV" w:eastAsia="lv-LV"/>
            </w:rPr>
            <w:t>Click or tap here to enter text.</w:t>
          </w:r>
        </w:p>
      </w:docPartBody>
    </w:docPart>
    <w:docPart>
      <w:docPartPr>
        <w:name w:val="06BBE338F92E4D1B8A0EE3DAD6EF39CA"/>
        <w:category>
          <w:name w:val="General"/>
          <w:gallery w:val="placeholder"/>
        </w:category>
        <w:types>
          <w:type w:val="bbPlcHdr"/>
        </w:types>
        <w:behaviors>
          <w:behavior w:val="content"/>
        </w:behaviors>
        <w:guid w:val="{91562469-6E85-4647-8D6A-9C59758A2653}"/>
      </w:docPartPr>
      <w:docPartBody>
        <w:p w:rsidR="00914AEE" w:rsidRDefault="00CF4D0D" w:rsidP="00CF4D0D">
          <w:pPr>
            <w:pStyle w:val="06BBE338F92E4D1B8A0EE3DAD6EF39CA1"/>
          </w:pPr>
          <w:r w:rsidRPr="00C67AAD">
            <w:rPr>
              <w:rFonts w:ascii="Arial" w:eastAsia="Calibri" w:hAnsi="Arial" w:cs="Arial"/>
              <w:i/>
              <w:iCs/>
              <w:color w:val="808080"/>
              <w:sz w:val="20"/>
              <w:szCs w:val="20"/>
              <w:lang w:val="lv-LV" w:eastAsia="lv-LV"/>
            </w:rPr>
            <w:t>Click or tap here to enter text.</w:t>
          </w:r>
        </w:p>
      </w:docPartBody>
    </w:docPart>
    <w:docPart>
      <w:docPartPr>
        <w:name w:val="A5C169D5D4744454883E20E4E8457FF3"/>
        <w:category>
          <w:name w:val="General"/>
          <w:gallery w:val="placeholder"/>
        </w:category>
        <w:types>
          <w:type w:val="bbPlcHdr"/>
        </w:types>
        <w:behaviors>
          <w:behavior w:val="content"/>
        </w:behaviors>
        <w:guid w:val="{7966D72B-CD0C-4C0C-8366-9ABE4117D8BB}"/>
      </w:docPartPr>
      <w:docPartBody>
        <w:p w:rsidR="00914AEE" w:rsidRDefault="00CF4D0D" w:rsidP="00CF4D0D">
          <w:pPr>
            <w:pStyle w:val="A5C169D5D4744454883E20E4E8457FF31"/>
          </w:pPr>
          <w:r w:rsidRPr="00C67AAD">
            <w:rPr>
              <w:rFonts w:ascii="Arial" w:eastAsia="Calibri" w:hAnsi="Arial" w:cs="Arial"/>
              <w:i/>
              <w:iCs/>
              <w:color w:val="808080"/>
              <w:sz w:val="20"/>
              <w:szCs w:val="20"/>
              <w:lang w:val="lv-LV" w:eastAsia="lv-LV"/>
            </w:rPr>
            <w:t>Click or tap here to enter text.</w:t>
          </w:r>
        </w:p>
      </w:docPartBody>
    </w:docPart>
    <w:docPart>
      <w:docPartPr>
        <w:name w:val="7DA224094CF941BBB3331BBC084A3E5F"/>
        <w:category>
          <w:name w:val="General"/>
          <w:gallery w:val="placeholder"/>
        </w:category>
        <w:types>
          <w:type w:val="bbPlcHdr"/>
        </w:types>
        <w:behaviors>
          <w:behavior w:val="content"/>
        </w:behaviors>
        <w:guid w:val="{35900300-E0FC-44B4-99D3-5607453FC36F}"/>
      </w:docPartPr>
      <w:docPartBody>
        <w:p w:rsidR="00914AEE" w:rsidRDefault="00BD4D83" w:rsidP="00BD4D83">
          <w:pPr>
            <w:pStyle w:val="7DA224094CF941BBB3331BBC084A3E5F"/>
          </w:pPr>
          <w:r w:rsidRPr="00A160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[{"Assignee":"Aleksandrs Kuharjonoks","AssigneePosition":"Nodaļas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c189f896-bc1e-4232-b5d3-9c793fd5d769</BBS_RelatedItemID>
  </documentManagement>
</p:properties>
</file>

<file path=customXml/item2.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37EA0-365F-4833-ACBA-B3B85C5B2A1F}"/>
</file>

<file path=customXml/itemProps2.xml><?xml version="1.0" encoding="utf-8"?>
<ds:datastoreItem xmlns:ds="http://schemas.openxmlformats.org/officeDocument/2006/customXml" ds:itemID="{B4D6E1BA-146B-4D79-B637-CE09900CADEA}"/>
</file>

<file path=customXml/itemProps3.xml><?xml version="1.0" encoding="utf-8"?>
<ds:datastoreItem xmlns:ds="http://schemas.openxmlformats.org/officeDocument/2006/customXml" ds:itemID="{4F11F716-BDFD-4425-BE11-8E165FE35544}"/>
</file>

<file path=customXml/itemProps4.xml><?xml version="1.0" encoding="utf-8"?>
<ds:datastoreItem xmlns:ds="http://schemas.openxmlformats.org/officeDocument/2006/customXml" ds:itemID="{158AA541-DDC1-416A-B968-F4B44F8127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Sandra Aare</cp:lastModifiedBy>
  <cp:revision>7</cp:revision>
  <dcterms:created xsi:type="dcterms:W3CDTF">2024-01-29T11:02:00Z</dcterms:created>
  <dcterms:modified xsi:type="dcterms:W3CDTF">2026-08-21T08:59:06Z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