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8296"/>
      </w:tblGrid>
      <w:tr w:rsidR="00C0008D" w14:paraId="7854B9D0" w14:textId="77777777" w:rsidTr="00445372">
        <w:tc>
          <w:tcPr>
            <w:tcW w:w="9344" w:type="dxa"/>
          </w:tcPr>
          <w:p w14:paraId="6ED83ACD" w14:textId="77777777" w:rsidR="00C0008D" w:rsidRPr="001313FF" w:rsidRDefault="00C0008D" w:rsidP="00445372">
            <w:pPr>
              <w:jc w:val="both"/>
              <w:rPr>
                <w:rFonts w:ascii="Times New Roman" w:hAnsi="Times New Roman"/>
                <w:b/>
                <w:bCs/>
                <w:sz w:val="23"/>
                <w:szCs w:val="23"/>
              </w:rPr>
            </w:pPr>
            <w:r w:rsidRPr="001313FF">
              <w:rPr>
                <w:rFonts w:ascii="Times New Roman" w:hAnsi="Times New Roman"/>
                <w:b/>
                <w:bCs/>
                <w:sz w:val="23"/>
                <w:szCs w:val="23"/>
              </w:rPr>
              <w:t xml:space="preserve">1.pozīcija - Pusautomātiskais rotācijas </w:t>
            </w:r>
            <w:proofErr w:type="spellStart"/>
            <w:r w:rsidRPr="001313FF">
              <w:rPr>
                <w:rFonts w:ascii="Times New Roman" w:hAnsi="Times New Roman"/>
                <w:b/>
                <w:bCs/>
                <w:sz w:val="23"/>
                <w:szCs w:val="23"/>
              </w:rPr>
              <w:t>mikrotoms</w:t>
            </w:r>
            <w:proofErr w:type="spellEnd"/>
          </w:p>
        </w:tc>
      </w:tr>
      <w:tr w:rsidR="00C0008D" w14:paraId="0DF0BE3C" w14:textId="77777777" w:rsidTr="00445372">
        <w:tc>
          <w:tcPr>
            <w:tcW w:w="9344" w:type="dxa"/>
          </w:tcPr>
          <w:p w14:paraId="65695DC4" w14:textId="77777777" w:rsidR="00C0008D" w:rsidRPr="001313FF" w:rsidRDefault="00C0008D" w:rsidP="00445372">
            <w:pPr>
              <w:jc w:val="both"/>
              <w:rPr>
                <w:rFonts w:ascii="Times New Roman" w:hAnsi="Times New Roman"/>
                <w:sz w:val="23"/>
                <w:szCs w:val="23"/>
              </w:rPr>
            </w:pPr>
            <w:r>
              <w:rPr>
                <w:rFonts w:ascii="Times New Roman" w:hAnsi="Times New Roman"/>
                <w:sz w:val="23"/>
                <w:szCs w:val="23"/>
              </w:rPr>
              <w:t>V</w:t>
            </w:r>
            <w:r w:rsidRPr="001313FF">
              <w:rPr>
                <w:rFonts w:ascii="Times New Roman" w:hAnsi="Times New Roman"/>
                <w:sz w:val="23"/>
                <w:szCs w:val="23"/>
              </w:rPr>
              <w:t>ēlamies vērst uzmanību uz vairākiem punktiem, kas pašreizējā redakcijā satur ļoti specifiskus, viena konkrēta ražotāja modelim raksturīgus parametrus vai konstrukcijas nianses.</w:t>
            </w:r>
          </w:p>
          <w:p w14:paraId="163F1620"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Lai veicinātu brīvu un godīgu konkurenci, nodrošinātu vienlīdzīgu attieksmi pret pretendentiem un dotu iespēju iepirkumā piedalīties vairākiem pasaulē atzītiem histoloģijas iekārtu ražotājiem, lūdzam izvērtēt un precizēt šādus Tehniskās specifikācijas punktus:</w:t>
            </w:r>
          </w:p>
          <w:p w14:paraId="0D408F03"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1. Par vadības paneli</w:t>
            </w:r>
          </w:p>
          <w:p w14:paraId="00BB2136"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Pašreizējā specifikācijā ir noteikta prasība: “Aprīkots ar vadības paneli.”</w:t>
            </w:r>
          </w:p>
          <w:p w14:paraId="25F5D429"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 xml:space="preserve">Vairāki vadošie histoloģijas iekārtu ražotāji savos jaunākās paaudzes pusautomātiskajos </w:t>
            </w:r>
            <w:proofErr w:type="spellStart"/>
            <w:r w:rsidRPr="001313FF">
              <w:rPr>
                <w:rFonts w:ascii="Times New Roman" w:hAnsi="Times New Roman"/>
                <w:sz w:val="23"/>
                <w:szCs w:val="23"/>
              </w:rPr>
              <w:t>mikrotomos</w:t>
            </w:r>
            <w:proofErr w:type="spellEnd"/>
            <w:r w:rsidRPr="001313FF">
              <w:rPr>
                <w:rFonts w:ascii="Times New Roman" w:hAnsi="Times New Roman"/>
                <w:sz w:val="23"/>
                <w:szCs w:val="23"/>
              </w:rPr>
              <w:t xml:space="preserve"> vairs neizmanto atsevišķus vai mehāniskus ārējos vadības paneļus. To vietā iekārtas korpusā tiek integrēti mūsdienīgi, ergonomiski skārienekrāni (</w:t>
            </w:r>
            <w:proofErr w:type="spellStart"/>
            <w:r w:rsidRPr="001313FF">
              <w:rPr>
                <w:rFonts w:ascii="Times New Roman" w:hAnsi="Times New Roman"/>
                <w:sz w:val="23"/>
                <w:szCs w:val="23"/>
              </w:rPr>
              <w:t>touch-screen</w:t>
            </w:r>
            <w:proofErr w:type="spellEnd"/>
            <w:r w:rsidRPr="001313FF">
              <w:rPr>
                <w:rFonts w:ascii="Times New Roman" w:hAnsi="Times New Roman"/>
                <w:sz w:val="23"/>
                <w:szCs w:val="23"/>
              </w:rPr>
              <w:t xml:space="preserve"> panelis), kas nodrošina visu nepieciešamo griešanas parametru kontroli un funkciju vadību tieši tādā pašā vai augstākā tehnoloģiskā līmenī. Tā kā pašreizējais formulējums var tikt interpretēts šauri (norādot tikai uz tradicionālu, atsevišķu vadības pulti), tas nepamatoti ierobežo modernu un ekvivalentu iekārtu dalību iepirkumā.</w:t>
            </w:r>
          </w:p>
          <w:p w14:paraId="62D8DD92"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 xml:space="preserve">Jautājums komisijai: Vai komisija piekrīt precizēt minēto tehniskās specifikācijas punktu un apstiprina, ka pretendents var piedāvāt ekvivalentu risinājumu, kurā vadības panelis ir realizēts kā iekārtā iebūvēts skārienekrāns? </w:t>
            </w:r>
          </w:p>
          <w:p w14:paraId="34B9039E"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Ierosinām izteikt šo punktu šādā redakcijā:</w:t>
            </w:r>
          </w:p>
          <w:p w14:paraId="38CC90D3" w14:textId="77777777" w:rsidR="00C0008D" w:rsidRDefault="00C0008D" w:rsidP="00445372">
            <w:pPr>
              <w:jc w:val="both"/>
              <w:rPr>
                <w:rFonts w:ascii="Times New Roman" w:hAnsi="Times New Roman"/>
                <w:sz w:val="23"/>
                <w:szCs w:val="23"/>
              </w:rPr>
            </w:pPr>
            <w:r w:rsidRPr="001313FF">
              <w:rPr>
                <w:rFonts w:ascii="Times New Roman" w:hAnsi="Times New Roman"/>
                <w:sz w:val="23"/>
                <w:szCs w:val="23"/>
              </w:rPr>
              <w:t>“Aprīkots ar vadības paneli (t.sk. iebūvētu skārienekrānu vai ekvivalentu risinājumu parametru kontrolei).”</w:t>
            </w:r>
          </w:p>
          <w:p w14:paraId="1ADCD2FC" w14:textId="77777777" w:rsidR="00C0008D" w:rsidRDefault="00C0008D" w:rsidP="00445372">
            <w:pPr>
              <w:jc w:val="both"/>
              <w:rPr>
                <w:rFonts w:ascii="Times New Roman" w:hAnsi="Times New Roman"/>
                <w:sz w:val="23"/>
                <w:szCs w:val="23"/>
              </w:rPr>
            </w:pPr>
          </w:p>
          <w:p w14:paraId="2496C957" w14:textId="77777777" w:rsidR="00C0008D" w:rsidRPr="001313FF" w:rsidRDefault="00C0008D" w:rsidP="00445372">
            <w:pPr>
              <w:jc w:val="both"/>
              <w:rPr>
                <w:rFonts w:ascii="Times New Roman" w:hAnsi="Times New Roman"/>
                <w:b/>
                <w:bCs/>
                <w:sz w:val="23"/>
                <w:szCs w:val="23"/>
              </w:rPr>
            </w:pPr>
            <w:r w:rsidRPr="001313FF">
              <w:rPr>
                <w:rFonts w:ascii="Times New Roman" w:hAnsi="Times New Roman"/>
                <w:b/>
                <w:bCs/>
                <w:sz w:val="23"/>
                <w:szCs w:val="23"/>
              </w:rPr>
              <w:t xml:space="preserve">Komisijas atbilde: </w:t>
            </w:r>
          </w:p>
          <w:p w14:paraId="47B6E67F"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1.</w:t>
            </w:r>
            <w:r>
              <w:rPr>
                <w:rFonts w:ascii="Times New Roman" w:hAnsi="Times New Roman"/>
                <w:sz w:val="23"/>
                <w:szCs w:val="23"/>
              </w:rPr>
              <w:t xml:space="preserve"> </w:t>
            </w:r>
            <w:r w:rsidRPr="001313FF">
              <w:rPr>
                <w:rFonts w:ascii="Times New Roman" w:hAnsi="Times New Roman"/>
                <w:sz w:val="23"/>
                <w:szCs w:val="23"/>
              </w:rPr>
              <w:t>Par vadības paneli:</w:t>
            </w:r>
          </w:p>
          <w:p w14:paraId="4EB57273"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Komisija skaidro, ka tehniskajā specifikācijā nav noteiktas ierobežojošas prasības attiecībā uz vadības paneļa veidu vai tā konstrukciju. Līdz ar to prasība „Aprīkots ar vadības paneli” nav interpretējama kā prasība pēc konkrēta vadības paneļa veida vai konstrukcijas.</w:t>
            </w:r>
          </w:p>
          <w:p w14:paraId="21F4773A"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Vienlaikus, lai novērstu iespējamu atšķirīgu tehniskās specifikācijas prasības interpretāciju un nodrošinātu viennozīmīgu prasības piemērošanu, Komisija ir nolēmusi precizēt tehniskās specifikācijas 1.2.23. punktu.</w:t>
            </w:r>
          </w:p>
          <w:p w14:paraId="3A8EB08E"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Iepriekšējā redakcija: 1.2.23. „Aprīkots ar vadības paneli.”</w:t>
            </w:r>
          </w:p>
          <w:p w14:paraId="0F18122D"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Jaunā redakcija: 1.2.23.  „Aprīkots ar iebūvētu vai ārēju vadības paneli vai ekvivalentu risinājumu.”</w:t>
            </w:r>
          </w:p>
          <w:p w14:paraId="297E12FA" w14:textId="77777777" w:rsidR="00C0008D" w:rsidRPr="001313FF" w:rsidRDefault="00C0008D" w:rsidP="00445372">
            <w:pPr>
              <w:jc w:val="both"/>
              <w:rPr>
                <w:rFonts w:ascii="Times New Roman" w:hAnsi="Times New Roman"/>
                <w:sz w:val="23"/>
                <w:szCs w:val="23"/>
              </w:rPr>
            </w:pPr>
          </w:p>
          <w:p w14:paraId="64AAD75C"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2. Par atkritumu paplātes tilpumu</w:t>
            </w:r>
          </w:p>
          <w:p w14:paraId="0914DCC3"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Pašreizējā specifikācijā ir noteikta prasība: “Atkritumu paplātes tilpums vismaz 1350 ml.”</w:t>
            </w:r>
          </w:p>
          <w:p w14:paraId="0065CD61"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Norādām, ka tik specifisks un līdz mililitram precīzs tilpuma parametrs ir raksturīgs tikai viena konkrēta ražotāja modelim. Citi vadošie ražotāji savās tehnisko datu lapās neatšifrē tilpumu tieši šādā mērvienībā, lai gan to iekārtas ir aprīkotas ar lielām, ergonomiskām un funkcionāli identiskām antistatiskām atkritumu tvertnēm, kas pilnībā nodrošina nepārtrauktu laboratorijas darbu. Šāds ierobežojums nepamatoti sašaurina pretendentu loku, nedodot nekādu praktisku vai tehnoloģisku ieguvumu pasūtītājam.</w:t>
            </w:r>
          </w:p>
          <w:p w14:paraId="5C84BFFA"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 xml:space="preserve">Jautājums komisijai: Vai komisija piekrīt precizēt šo punktu, aizstājot fiksēto mililitru apjomu ar funkcionālu prasību, izsakot punktu šādā redakcijā? </w:t>
            </w:r>
          </w:p>
          <w:p w14:paraId="6BC5CD6F"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Ierosinām izteikt šo punktu šādā redakcijā:</w:t>
            </w:r>
          </w:p>
          <w:p w14:paraId="1E670DF8" w14:textId="77777777" w:rsidR="00C0008D" w:rsidRDefault="00C0008D" w:rsidP="00445372">
            <w:pPr>
              <w:jc w:val="both"/>
              <w:rPr>
                <w:rFonts w:ascii="Times New Roman" w:hAnsi="Times New Roman"/>
                <w:sz w:val="23"/>
                <w:szCs w:val="23"/>
              </w:rPr>
            </w:pPr>
            <w:r w:rsidRPr="001313FF">
              <w:rPr>
                <w:rFonts w:ascii="Times New Roman" w:hAnsi="Times New Roman"/>
                <w:sz w:val="23"/>
                <w:szCs w:val="23"/>
              </w:rPr>
              <w:t>“Aprīkots ar noņemamu, ietilpīgu atkritumu paplāti ar antistatisku pārklājumu (piemēram, liela apjoma tvertne ikdienas laboratorijas atkritumu savākšanai).”</w:t>
            </w:r>
          </w:p>
          <w:p w14:paraId="728F9345" w14:textId="77777777" w:rsidR="00C0008D" w:rsidRDefault="00C0008D" w:rsidP="00445372">
            <w:pPr>
              <w:jc w:val="both"/>
              <w:rPr>
                <w:rFonts w:ascii="Times New Roman" w:hAnsi="Times New Roman"/>
                <w:sz w:val="23"/>
                <w:szCs w:val="23"/>
              </w:rPr>
            </w:pPr>
          </w:p>
          <w:p w14:paraId="0911B668" w14:textId="77777777" w:rsidR="00C0008D" w:rsidRPr="001313FF" w:rsidRDefault="00C0008D" w:rsidP="00445372">
            <w:pPr>
              <w:jc w:val="both"/>
              <w:rPr>
                <w:rFonts w:ascii="Times New Roman" w:hAnsi="Times New Roman"/>
                <w:b/>
                <w:bCs/>
                <w:sz w:val="23"/>
                <w:szCs w:val="23"/>
              </w:rPr>
            </w:pPr>
            <w:r w:rsidRPr="001313FF">
              <w:rPr>
                <w:rFonts w:ascii="Times New Roman" w:hAnsi="Times New Roman"/>
                <w:b/>
                <w:bCs/>
                <w:sz w:val="23"/>
                <w:szCs w:val="23"/>
              </w:rPr>
              <w:lastRenderedPageBreak/>
              <w:t xml:space="preserve">Komisijas atbilde: </w:t>
            </w:r>
          </w:p>
          <w:p w14:paraId="078F5C79" w14:textId="77777777" w:rsidR="00C0008D" w:rsidRPr="001313FF" w:rsidRDefault="00C0008D" w:rsidP="00445372">
            <w:pPr>
              <w:jc w:val="both"/>
              <w:rPr>
                <w:rFonts w:ascii="Times New Roman" w:hAnsi="Times New Roman"/>
                <w:sz w:val="23"/>
                <w:szCs w:val="23"/>
              </w:rPr>
            </w:pPr>
            <w:r>
              <w:rPr>
                <w:rFonts w:ascii="Times New Roman" w:hAnsi="Times New Roman"/>
                <w:sz w:val="23"/>
                <w:szCs w:val="23"/>
              </w:rPr>
              <w:t xml:space="preserve">2. </w:t>
            </w:r>
            <w:r w:rsidRPr="001313FF">
              <w:rPr>
                <w:rFonts w:ascii="Times New Roman" w:hAnsi="Times New Roman"/>
                <w:sz w:val="23"/>
                <w:szCs w:val="23"/>
              </w:rPr>
              <w:t>Par atkritumu paplātes tilpumu</w:t>
            </w:r>
          </w:p>
          <w:p w14:paraId="21DB3346"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Komisija skaidro, ka tehniskajā specifikācijā noteiktā prasība „Atkritumu paplātes tilpums vismaz 1350 ml” sākotnēji netika uzskatīta par nepamatoti konkurenci ierobežojošu prasību, jo  iepirkuma apspriedes laikā no potenciālajiem pretendentiem netika saņemti iebildumi vai komentāri par to, ka konkrētais tilpuma parametrs varētu nepamatoti ierobežot konkurenci vai būtiski sašaurināt potenciālo pretendentu loku.</w:t>
            </w:r>
          </w:p>
          <w:p w14:paraId="714AC970"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Vienlaikus Komisija ir izvērtējusi pretendenta sniegto argumentāciju un secinājusi, ka atkritumu paplātes konkrēta minimālā tilpuma noteikšana nav būtiska, lai nodrošinātu iekārtas paredzēto funkcionalitāti un lietošanas mērķi. Ņemot vērā minēto, Komisija ir nolēmusi precizēt tehniskās specifikācijas prasību.</w:t>
            </w:r>
          </w:p>
          <w:p w14:paraId="5D1EB2B0"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Iepriekšējā redakcija:</w:t>
            </w:r>
          </w:p>
          <w:p w14:paraId="7DBA0471"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1.2.27. „Atkritumu paplātes tilpums vismaz 1350 ml.”</w:t>
            </w:r>
          </w:p>
          <w:p w14:paraId="64496294"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Jaunā redakcija:</w:t>
            </w:r>
          </w:p>
          <w:p w14:paraId="6E57A799"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1.2.27. „Aprīkots ar noņemamu atkritumu paplāti.”</w:t>
            </w:r>
          </w:p>
          <w:p w14:paraId="33C57EA3" w14:textId="77777777" w:rsidR="00C0008D" w:rsidRPr="001313FF" w:rsidRDefault="00C0008D" w:rsidP="00445372">
            <w:pPr>
              <w:jc w:val="both"/>
              <w:rPr>
                <w:rFonts w:ascii="Times New Roman" w:hAnsi="Times New Roman"/>
                <w:sz w:val="23"/>
                <w:szCs w:val="23"/>
              </w:rPr>
            </w:pPr>
          </w:p>
          <w:p w14:paraId="3A97F5FA"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 xml:space="preserve">3. Par parauga turētāju </w:t>
            </w:r>
            <w:proofErr w:type="spellStart"/>
            <w:r w:rsidRPr="001313FF">
              <w:rPr>
                <w:rFonts w:ascii="Times New Roman" w:hAnsi="Times New Roman"/>
                <w:sz w:val="23"/>
                <w:szCs w:val="23"/>
              </w:rPr>
              <w:t>mega</w:t>
            </w:r>
            <w:proofErr w:type="spellEnd"/>
            <w:r w:rsidRPr="001313FF">
              <w:rPr>
                <w:rFonts w:ascii="Times New Roman" w:hAnsi="Times New Roman"/>
                <w:sz w:val="23"/>
                <w:szCs w:val="23"/>
              </w:rPr>
              <w:t xml:space="preserve"> kasetēm</w:t>
            </w:r>
          </w:p>
          <w:p w14:paraId="72C44B96"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Pašreizējā specifikācijā ir noteikta prasība: “Parauga turētājs pielāgojams dažāda izmēra parafīna blokiem, t.sk. lielajām kasetēm (</w:t>
            </w:r>
            <w:proofErr w:type="spellStart"/>
            <w:r w:rsidRPr="001313FF">
              <w:rPr>
                <w:rFonts w:ascii="Times New Roman" w:hAnsi="Times New Roman"/>
                <w:sz w:val="23"/>
                <w:szCs w:val="23"/>
              </w:rPr>
              <w:t>mega</w:t>
            </w:r>
            <w:proofErr w:type="spellEnd"/>
            <w:r w:rsidRPr="001313FF">
              <w:rPr>
                <w:rFonts w:ascii="Times New Roman" w:hAnsi="Times New Roman"/>
                <w:sz w:val="23"/>
                <w:szCs w:val="23"/>
              </w:rPr>
              <w:t xml:space="preserve"> </w:t>
            </w:r>
            <w:proofErr w:type="spellStart"/>
            <w:r w:rsidRPr="001313FF">
              <w:rPr>
                <w:rFonts w:ascii="Times New Roman" w:hAnsi="Times New Roman"/>
                <w:sz w:val="23"/>
                <w:szCs w:val="23"/>
              </w:rPr>
              <w:t>cassette</w:t>
            </w:r>
            <w:proofErr w:type="spellEnd"/>
            <w:r w:rsidRPr="001313FF">
              <w:rPr>
                <w:rFonts w:ascii="Times New Roman" w:hAnsi="Times New Roman"/>
                <w:sz w:val="23"/>
                <w:szCs w:val="23"/>
              </w:rPr>
              <w:t>).”</w:t>
            </w:r>
          </w:p>
          <w:p w14:paraId="6F94BC8A"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 xml:space="preserve">Vēlamies noskaidrot, vai pasūtītājam ir būtiski, lai šī funkcija būtu iebūvēta jau pašā bāzes (monolītajā) paraugu skavas konstrukcijā, vai arī ir pieļaujams ekvivalentu un modulāru sistēmu risinājums. Lielai daļai modernu </w:t>
            </w:r>
            <w:proofErr w:type="spellStart"/>
            <w:r w:rsidRPr="001313FF">
              <w:rPr>
                <w:rFonts w:ascii="Times New Roman" w:hAnsi="Times New Roman"/>
                <w:sz w:val="23"/>
                <w:szCs w:val="23"/>
              </w:rPr>
              <w:t>mikrotomu</w:t>
            </w:r>
            <w:proofErr w:type="spellEnd"/>
            <w:r w:rsidRPr="001313FF">
              <w:rPr>
                <w:rFonts w:ascii="Times New Roman" w:hAnsi="Times New Roman"/>
                <w:sz w:val="23"/>
                <w:szCs w:val="23"/>
              </w:rPr>
              <w:t xml:space="preserve"> ražotāju standarta komplektācijā ietilpst universāla ātrā spaile (</w:t>
            </w:r>
            <w:proofErr w:type="spellStart"/>
            <w:r w:rsidRPr="001313FF">
              <w:rPr>
                <w:rFonts w:ascii="Times New Roman" w:hAnsi="Times New Roman"/>
                <w:sz w:val="23"/>
                <w:szCs w:val="23"/>
              </w:rPr>
              <w:t>Quick</w:t>
            </w:r>
            <w:proofErr w:type="spellEnd"/>
            <w:r w:rsidRPr="001313FF">
              <w:rPr>
                <w:rFonts w:ascii="Times New Roman" w:hAnsi="Times New Roman"/>
                <w:sz w:val="23"/>
                <w:szCs w:val="23"/>
              </w:rPr>
              <w:t xml:space="preserve"> </w:t>
            </w:r>
            <w:proofErr w:type="spellStart"/>
            <w:r w:rsidRPr="001313FF">
              <w:rPr>
                <w:rFonts w:ascii="Times New Roman" w:hAnsi="Times New Roman"/>
                <w:sz w:val="23"/>
                <w:szCs w:val="23"/>
              </w:rPr>
              <w:t>clamp</w:t>
            </w:r>
            <w:proofErr w:type="spellEnd"/>
            <w:r w:rsidRPr="001313FF">
              <w:rPr>
                <w:rFonts w:ascii="Times New Roman" w:hAnsi="Times New Roman"/>
                <w:sz w:val="23"/>
                <w:szCs w:val="23"/>
              </w:rPr>
              <w:t xml:space="preserve">), bet saderība ar lielajām </w:t>
            </w:r>
            <w:proofErr w:type="spellStart"/>
            <w:r w:rsidRPr="001313FF">
              <w:rPr>
                <w:rFonts w:ascii="Times New Roman" w:hAnsi="Times New Roman"/>
                <w:sz w:val="23"/>
                <w:szCs w:val="23"/>
              </w:rPr>
              <w:t>mega</w:t>
            </w:r>
            <w:proofErr w:type="spellEnd"/>
            <w:r w:rsidRPr="001313FF">
              <w:rPr>
                <w:rFonts w:ascii="Times New Roman" w:hAnsi="Times New Roman"/>
                <w:sz w:val="23"/>
                <w:szCs w:val="23"/>
              </w:rPr>
              <w:t xml:space="preserve"> kasetēm tiek nodrošināta, piegādājot un piedāvājuma komplektācijā iekļaujot viegli nomaināmu speciālo paraugu turētāja bloku (</w:t>
            </w:r>
            <w:proofErr w:type="spellStart"/>
            <w:r w:rsidRPr="001313FF">
              <w:rPr>
                <w:rFonts w:ascii="Times New Roman" w:hAnsi="Times New Roman"/>
                <w:sz w:val="23"/>
                <w:szCs w:val="23"/>
              </w:rPr>
              <w:t>Mega-cassette</w:t>
            </w:r>
            <w:proofErr w:type="spellEnd"/>
            <w:r w:rsidRPr="001313FF">
              <w:rPr>
                <w:rFonts w:ascii="Times New Roman" w:hAnsi="Times New Roman"/>
                <w:sz w:val="23"/>
                <w:szCs w:val="23"/>
              </w:rPr>
              <w:t xml:space="preserve"> </w:t>
            </w:r>
            <w:proofErr w:type="spellStart"/>
            <w:r w:rsidRPr="001313FF">
              <w:rPr>
                <w:rFonts w:ascii="Times New Roman" w:hAnsi="Times New Roman"/>
                <w:sz w:val="23"/>
                <w:szCs w:val="23"/>
              </w:rPr>
              <w:t>clamp</w:t>
            </w:r>
            <w:proofErr w:type="spellEnd"/>
            <w:r w:rsidRPr="001313FF">
              <w:rPr>
                <w:rFonts w:ascii="Times New Roman" w:hAnsi="Times New Roman"/>
                <w:sz w:val="23"/>
                <w:szCs w:val="23"/>
              </w:rPr>
              <w:t>).</w:t>
            </w:r>
          </w:p>
          <w:p w14:paraId="3811EE7F"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 xml:space="preserve">Jautājums komisijai: Vai komisija apstiprina, ka pretendents prasību par saderību ar </w:t>
            </w:r>
            <w:proofErr w:type="spellStart"/>
            <w:r w:rsidRPr="001313FF">
              <w:rPr>
                <w:rFonts w:ascii="Times New Roman" w:hAnsi="Times New Roman"/>
                <w:sz w:val="23"/>
                <w:szCs w:val="23"/>
              </w:rPr>
              <w:t>mega</w:t>
            </w:r>
            <w:proofErr w:type="spellEnd"/>
            <w:r w:rsidRPr="001313FF">
              <w:rPr>
                <w:rFonts w:ascii="Times New Roman" w:hAnsi="Times New Roman"/>
                <w:sz w:val="23"/>
                <w:szCs w:val="23"/>
              </w:rPr>
              <w:t xml:space="preserve"> kasetēm var izpildīt, piedāvājot iekārtu kopā ar atbilstošu papildaprīkojumu/maināmu moduli, kas ir pilnībā saderīgs ar piedāvāto </w:t>
            </w:r>
            <w:proofErr w:type="spellStart"/>
            <w:r w:rsidRPr="001313FF">
              <w:rPr>
                <w:rFonts w:ascii="Times New Roman" w:hAnsi="Times New Roman"/>
                <w:sz w:val="23"/>
                <w:szCs w:val="23"/>
              </w:rPr>
              <w:t>mikrotomu</w:t>
            </w:r>
            <w:proofErr w:type="spellEnd"/>
            <w:r w:rsidRPr="001313FF">
              <w:rPr>
                <w:rFonts w:ascii="Times New Roman" w:hAnsi="Times New Roman"/>
                <w:sz w:val="23"/>
                <w:szCs w:val="23"/>
              </w:rPr>
              <w:t xml:space="preserve"> un tiek iekļauts kopējā piegādes komplektācijā un cenā? </w:t>
            </w:r>
          </w:p>
          <w:p w14:paraId="22F75B6D"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Ierosinām izteikt šo punktu šādā redakcijā:</w:t>
            </w:r>
          </w:p>
          <w:p w14:paraId="067B1D8C"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“Parauga turētājs (bāzes izpildījumā vai ar komplektācijā iekļautu papildaprīkojumu/moduli) ir pielāgojams dažāda izmēra parafīna blokiem, t.sk. lielajām kasetēm (</w:t>
            </w:r>
            <w:proofErr w:type="spellStart"/>
            <w:r w:rsidRPr="001313FF">
              <w:rPr>
                <w:rFonts w:ascii="Times New Roman" w:hAnsi="Times New Roman"/>
                <w:sz w:val="23"/>
                <w:szCs w:val="23"/>
              </w:rPr>
              <w:t>mega</w:t>
            </w:r>
            <w:proofErr w:type="spellEnd"/>
            <w:r w:rsidRPr="001313FF">
              <w:rPr>
                <w:rFonts w:ascii="Times New Roman" w:hAnsi="Times New Roman"/>
                <w:sz w:val="23"/>
                <w:szCs w:val="23"/>
              </w:rPr>
              <w:t xml:space="preserve"> </w:t>
            </w:r>
            <w:proofErr w:type="spellStart"/>
            <w:r w:rsidRPr="001313FF">
              <w:rPr>
                <w:rFonts w:ascii="Times New Roman" w:hAnsi="Times New Roman"/>
                <w:sz w:val="23"/>
                <w:szCs w:val="23"/>
              </w:rPr>
              <w:t>cassette</w:t>
            </w:r>
            <w:proofErr w:type="spellEnd"/>
            <w:r w:rsidRPr="001313FF">
              <w:rPr>
                <w:rFonts w:ascii="Times New Roman" w:hAnsi="Times New Roman"/>
                <w:sz w:val="23"/>
                <w:szCs w:val="23"/>
              </w:rPr>
              <w:t>).”</w:t>
            </w:r>
          </w:p>
          <w:p w14:paraId="3C293922" w14:textId="77777777" w:rsidR="00C0008D" w:rsidRPr="001313FF" w:rsidRDefault="00C0008D" w:rsidP="00445372">
            <w:pPr>
              <w:jc w:val="both"/>
              <w:rPr>
                <w:rFonts w:ascii="Times New Roman" w:hAnsi="Times New Roman"/>
                <w:sz w:val="23"/>
                <w:szCs w:val="23"/>
              </w:rPr>
            </w:pPr>
          </w:p>
          <w:p w14:paraId="1481ACD0" w14:textId="77777777" w:rsidR="00C0008D" w:rsidRPr="001313FF" w:rsidRDefault="00C0008D" w:rsidP="00445372">
            <w:pPr>
              <w:jc w:val="both"/>
              <w:rPr>
                <w:rFonts w:ascii="Times New Roman" w:hAnsi="Times New Roman"/>
                <w:b/>
                <w:bCs/>
                <w:sz w:val="23"/>
                <w:szCs w:val="23"/>
              </w:rPr>
            </w:pPr>
            <w:r w:rsidRPr="001313FF">
              <w:rPr>
                <w:rFonts w:ascii="Times New Roman" w:hAnsi="Times New Roman"/>
                <w:b/>
                <w:bCs/>
                <w:sz w:val="23"/>
                <w:szCs w:val="23"/>
              </w:rPr>
              <w:t xml:space="preserve">Komisijas atbilde: </w:t>
            </w:r>
          </w:p>
          <w:p w14:paraId="4DCF6AC6"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 xml:space="preserve">3.Par parauga turētāju </w:t>
            </w:r>
            <w:proofErr w:type="spellStart"/>
            <w:r w:rsidRPr="001313FF">
              <w:rPr>
                <w:rFonts w:ascii="Times New Roman" w:hAnsi="Times New Roman"/>
                <w:sz w:val="23"/>
                <w:szCs w:val="23"/>
              </w:rPr>
              <w:t>mega</w:t>
            </w:r>
            <w:proofErr w:type="spellEnd"/>
            <w:r w:rsidRPr="001313FF">
              <w:rPr>
                <w:rFonts w:ascii="Times New Roman" w:hAnsi="Times New Roman"/>
                <w:sz w:val="23"/>
                <w:szCs w:val="23"/>
              </w:rPr>
              <w:t xml:space="preserve"> kasetēm</w:t>
            </w:r>
          </w:p>
          <w:p w14:paraId="29400526"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 xml:space="preserve">Komisija apstiprina, ka pretendents prasību par saderību ar </w:t>
            </w:r>
            <w:proofErr w:type="spellStart"/>
            <w:r w:rsidRPr="001313FF">
              <w:rPr>
                <w:rFonts w:ascii="Times New Roman" w:hAnsi="Times New Roman"/>
                <w:sz w:val="23"/>
                <w:szCs w:val="23"/>
              </w:rPr>
              <w:t>mega</w:t>
            </w:r>
            <w:proofErr w:type="spellEnd"/>
            <w:r w:rsidRPr="001313FF">
              <w:rPr>
                <w:rFonts w:ascii="Times New Roman" w:hAnsi="Times New Roman"/>
                <w:sz w:val="23"/>
                <w:szCs w:val="23"/>
              </w:rPr>
              <w:t xml:space="preserve"> kasetēm var izpildīt, piedāvājot iekārtu kopā ar atbilstošu papildaprīkojumu vai maināmu moduli, kas ir pilnībā saderīgs ar piedāvāto </w:t>
            </w:r>
            <w:proofErr w:type="spellStart"/>
            <w:r w:rsidRPr="001313FF">
              <w:rPr>
                <w:rFonts w:ascii="Times New Roman" w:hAnsi="Times New Roman"/>
                <w:sz w:val="23"/>
                <w:szCs w:val="23"/>
              </w:rPr>
              <w:t>mikrotomu</w:t>
            </w:r>
            <w:proofErr w:type="spellEnd"/>
            <w:r w:rsidRPr="001313FF">
              <w:rPr>
                <w:rFonts w:ascii="Times New Roman" w:hAnsi="Times New Roman"/>
                <w:sz w:val="23"/>
                <w:szCs w:val="23"/>
              </w:rPr>
              <w:t xml:space="preserve"> un tiek iekļauts kopējā piegādes komplektācijā un cenā. Šāda iespēja ir paredzēta arī tehniskās specifikācijas 1.3.2. punktā „Parauga turētājs standarta kasetēm” un 1.3.3. punktā „Parauga turētājs lielajām kasetēm”.</w:t>
            </w:r>
          </w:p>
          <w:p w14:paraId="181246C4"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 xml:space="preserve">Komisija skaidro, ka tehniskajā specifikācijā nav noteiktas ierobežojošas prasības attiecībā uz parauga turētāja konstrukciju, tā tehnisko izpildījumu vai konkrētu tehnoloģisko risinājumu. </w:t>
            </w:r>
          </w:p>
          <w:p w14:paraId="10319D61"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Līdz ar to ir pieļaujami arī tehnoloģiski risinājumi, kuros parauga turētāja konstrukcijas atsevišķas daļas, stiprinājumi vai moduļi ir nomaināmi un pielāgojami atbilstoši izmantojamajam parafīna bloka izmēram. Būtiski ir tas, lai piedāvātais risinājums pilnā apjomā nodrošinātu tehniskajā specifikācijā noteikto funkcionalitāti un būtu pilnībā saderīgs ar piedāvāto iekārtu.</w:t>
            </w:r>
          </w:p>
          <w:p w14:paraId="5A6F535A"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Vienlaikus, lai novērstu iespējamu atšķirīgu tehniskās specifikācijas prasības interpretāciju un nodrošinātu viennozīmīgu prasības piemērošanu, Komisija ir nolēmusi precizēt tehniskās specifikācijas 1.2.16. punktu.</w:t>
            </w:r>
          </w:p>
          <w:p w14:paraId="7BDD779D"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lastRenderedPageBreak/>
              <w:t>Iepriekšējā redakcija:</w:t>
            </w:r>
          </w:p>
          <w:p w14:paraId="7A42ACA8"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1.2.16. „Parauga turētājs pielāgojams dažāda izmēra parafīna blokiem, t.sk. lielajām kasetēm (</w:t>
            </w:r>
            <w:proofErr w:type="spellStart"/>
            <w:r w:rsidRPr="001313FF">
              <w:rPr>
                <w:rFonts w:ascii="Times New Roman" w:hAnsi="Times New Roman"/>
                <w:sz w:val="23"/>
                <w:szCs w:val="23"/>
              </w:rPr>
              <w:t>mega</w:t>
            </w:r>
            <w:proofErr w:type="spellEnd"/>
            <w:r w:rsidRPr="001313FF">
              <w:rPr>
                <w:rFonts w:ascii="Times New Roman" w:hAnsi="Times New Roman"/>
                <w:sz w:val="23"/>
                <w:szCs w:val="23"/>
              </w:rPr>
              <w:t xml:space="preserve"> </w:t>
            </w:r>
            <w:proofErr w:type="spellStart"/>
            <w:r w:rsidRPr="001313FF">
              <w:rPr>
                <w:rFonts w:ascii="Times New Roman" w:hAnsi="Times New Roman"/>
                <w:sz w:val="23"/>
                <w:szCs w:val="23"/>
              </w:rPr>
              <w:t>cassette</w:t>
            </w:r>
            <w:proofErr w:type="spellEnd"/>
            <w:r w:rsidRPr="001313FF">
              <w:rPr>
                <w:rFonts w:ascii="Times New Roman" w:hAnsi="Times New Roman"/>
                <w:sz w:val="23"/>
                <w:szCs w:val="23"/>
              </w:rPr>
              <w:t>).”</w:t>
            </w:r>
          </w:p>
          <w:p w14:paraId="6AE69527" w14:textId="77777777" w:rsidR="00C0008D" w:rsidRPr="001313FF" w:rsidRDefault="00C0008D" w:rsidP="00445372">
            <w:pPr>
              <w:jc w:val="both"/>
              <w:rPr>
                <w:rFonts w:ascii="Times New Roman" w:hAnsi="Times New Roman"/>
                <w:sz w:val="23"/>
                <w:szCs w:val="23"/>
              </w:rPr>
            </w:pPr>
            <w:r w:rsidRPr="001313FF">
              <w:rPr>
                <w:rFonts w:ascii="Times New Roman" w:hAnsi="Times New Roman"/>
                <w:sz w:val="23"/>
                <w:szCs w:val="23"/>
              </w:rPr>
              <w:t>Jaunā redakcija:</w:t>
            </w:r>
          </w:p>
          <w:p w14:paraId="2AF4D734" w14:textId="77777777" w:rsidR="00C0008D" w:rsidRDefault="00C0008D" w:rsidP="00445372">
            <w:pPr>
              <w:jc w:val="both"/>
              <w:rPr>
                <w:rFonts w:ascii="Times New Roman" w:hAnsi="Times New Roman"/>
                <w:sz w:val="23"/>
                <w:szCs w:val="23"/>
              </w:rPr>
            </w:pPr>
            <w:r w:rsidRPr="001313FF">
              <w:rPr>
                <w:rFonts w:ascii="Times New Roman" w:hAnsi="Times New Roman"/>
                <w:sz w:val="23"/>
                <w:szCs w:val="23"/>
              </w:rPr>
              <w:t>1.2.16. „Ir pielāgojams dažāda izmēra parafīna blokiem, t.sk. lielajām kasetēm (</w:t>
            </w:r>
            <w:proofErr w:type="spellStart"/>
            <w:r w:rsidRPr="001313FF">
              <w:rPr>
                <w:rFonts w:ascii="Times New Roman" w:hAnsi="Times New Roman"/>
                <w:sz w:val="23"/>
                <w:szCs w:val="23"/>
              </w:rPr>
              <w:t>mega</w:t>
            </w:r>
            <w:proofErr w:type="spellEnd"/>
            <w:r w:rsidRPr="001313FF">
              <w:rPr>
                <w:rFonts w:ascii="Times New Roman" w:hAnsi="Times New Roman"/>
                <w:sz w:val="23"/>
                <w:szCs w:val="23"/>
              </w:rPr>
              <w:t xml:space="preserve"> </w:t>
            </w:r>
            <w:proofErr w:type="spellStart"/>
            <w:r w:rsidRPr="001313FF">
              <w:rPr>
                <w:rFonts w:ascii="Times New Roman" w:hAnsi="Times New Roman"/>
                <w:sz w:val="23"/>
                <w:szCs w:val="23"/>
              </w:rPr>
              <w:t>cassette</w:t>
            </w:r>
            <w:proofErr w:type="spellEnd"/>
            <w:r w:rsidRPr="001313FF">
              <w:rPr>
                <w:rFonts w:ascii="Times New Roman" w:hAnsi="Times New Roman"/>
                <w:sz w:val="23"/>
                <w:szCs w:val="23"/>
              </w:rPr>
              <w:t>).”</w:t>
            </w:r>
          </w:p>
        </w:tc>
      </w:tr>
      <w:tr w:rsidR="00C0008D" w14:paraId="3AD5CE33" w14:textId="77777777" w:rsidTr="00445372">
        <w:tc>
          <w:tcPr>
            <w:tcW w:w="9344" w:type="dxa"/>
          </w:tcPr>
          <w:p w14:paraId="67BEBD31" w14:textId="77777777" w:rsidR="00C0008D" w:rsidRDefault="00C0008D" w:rsidP="00445372">
            <w:pPr>
              <w:jc w:val="both"/>
              <w:rPr>
                <w:rFonts w:ascii="Times New Roman" w:hAnsi="Times New Roman"/>
                <w:b/>
                <w:bCs/>
                <w:sz w:val="23"/>
                <w:szCs w:val="23"/>
              </w:rPr>
            </w:pPr>
          </w:p>
          <w:p w14:paraId="1B6CDFE3" w14:textId="77777777" w:rsidR="00C0008D" w:rsidRPr="009B0355" w:rsidRDefault="00C0008D" w:rsidP="00445372">
            <w:pPr>
              <w:jc w:val="both"/>
              <w:rPr>
                <w:rFonts w:ascii="Times New Roman" w:hAnsi="Times New Roman"/>
                <w:b/>
                <w:bCs/>
                <w:sz w:val="23"/>
                <w:szCs w:val="23"/>
              </w:rPr>
            </w:pPr>
            <w:r w:rsidRPr="009B0355">
              <w:rPr>
                <w:rFonts w:ascii="Times New Roman" w:hAnsi="Times New Roman"/>
                <w:b/>
                <w:bCs/>
                <w:sz w:val="23"/>
                <w:szCs w:val="23"/>
              </w:rPr>
              <w:t>5.pozīcija - Parafīna iekapsulēšanas stacija histoloģiskajām kasetēm</w:t>
            </w:r>
          </w:p>
        </w:tc>
      </w:tr>
      <w:tr w:rsidR="00C0008D" w14:paraId="6D99B8B6" w14:textId="77777777" w:rsidTr="00445372">
        <w:tc>
          <w:tcPr>
            <w:tcW w:w="9344" w:type="dxa"/>
          </w:tcPr>
          <w:p w14:paraId="37543FFD" w14:textId="77777777" w:rsidR="00C0008D" w:rsidRPr="009B0355" w:rsidRDefault="00C0008D" w:rsidP="00445372">
            <w:pPr>
              <w:jc w:val="both"/>
              <w:rPr>
                <w:rFonts w:ascii="Times New Roman" w:hAnsi="Times New Roman"/>
                <w:sz w:val="23"/>
                <w:szCs w:val="23"/>
              </w:rPr>
            </w:pPr>
            <w:r>
              <w:rPr>
                <w:rFonts w:ascii="Times New Roman" w:hAnsi="Times New Roman"/>
                <w:sz w:val="23"/>
                <w:szCs w:val="23"/>
              </w:rPr>
              <w:t>V</w:t>
            </w:r>
            <w:r w:rsidRPr="009B0355">
              <w:rPr>
                <w:rFonts w:ascii="Times New Roman" w:hAnsi="Times New Roman"/>
                <w:sz w:val="23"/>
                <w:szCs w:val="23"/>
              </w:rPr>
              <w:t>ēlamies vērst iepirkuma komisijas uzmanību uz tajā ietvertajām prasībām sadaļā „Atdzesējošā stacija”.</w:t>
            </w:r>
          </w:p>
          <w:p w14:paraId="36278EFF" w14:textId="77777777" w:rsidR="00C0008D" w:rsidRPr="009B0355" w:rsidRDefault="00C0008D" w:rsidP="00445372">
            <w:pPr>
              <w:jc w:val="both"/>
              <w:rPr>
                <w:rFonts w:ascii="Times New Roman" w:hAnsi="Times New Roman"/>
                <w:sz w:val="23"/>
                <w:szCs w:val="23"/>
              </w:rPr>
            </w:pPr>
            <w:r w:rsidRPr="009B0355">
              <w:rPr>
                <w:rFonts w:ascii="Times New Roman" w:hAnsi="Times New Roman"/>
                <w:sz w:val="23"/>
                <w:szCs w:val="23"/>
              </w:rPr>
              <w:t>Tehniskajā specifikācijā ir noteikta prasība: „Ietilpība vismaz 150 kasetes.”</w:t>
            </w:r>
          </w:p>
          <w:p w14:paraId="26A5AE6C" w14:textId="77777777" w:rsidR="00C0008D" w:rsidRPr="009B0355" w:rsidRDefault="00C0008D" w:rsidP="00445372">
            <w:pPr>
              <w:jc w:val="both"/>
              <w:rPr>
                <w:rFonts w:ascii="Times New Roman" w:hAnsi="Times New Roman"/>
                <w:sz w:val="23"/>
                <w:szCs w:val="23"/>
              </w:rPr>
            </w:pPr>
            <w:r w:rsidRPr="009B0355">
              <w:rPr>
                <w:rFonts w:ascii="Times New Roman" w:hAnsi="Times New Roman"/>
                <w:sz w:val="23"/>
                <w:szCs w:val="23"/>
              </w:rPr>
              <w:t>Vēlamies norādīt, ka šāds parametrs ir raksturīgs tikai atsevišķu ražotāju modeļiem. Tas nepamatoti sašaurina potenciālo pretendentu loku un ierobežo brīvu konkurenci, kas ir pretrunā ar Publisko iepirkumu likuma 2. panta mērķiem (nodrošināt piegādātāju brīvu konkurenci, kā arī valsts un pašvaldību līdzekļu efektīvu izmantošanu) un 20. panta prasībām par to, ka tehniskās specifikācijas nedrīkst radīt nepamatotus šķēršļus konkurencei.</w:t>
            </w:r>
          </w:p>
          <w:p w14:paraId="3D211A49" w14:textId="77777777" w:rsidR="00C0008D" w:rsidRDefault="00C0008D" w:rsidP="00445372">
            <w:pPr>
              <w:jc w:val="both"/>
              <w:rPr>
                <w:rFonts w:ascii="Times New Roman" w:hAnsi="Times New Roman"/>
                <w:sz w:val="23"/>
                <w:szCs w:val="23"/>
              </w:rPr>
            </w:pPr>
            <w:r w:rsidRPr="009B0355">
              <w:rPr>
                <w:rFonts w:ascii="Times New Roman" w:hAnsi="Times New Roman"/>
                <w:sz w:val="23"/>
                <w:szCs w:val="23"/>
              </w:rPr>
              <w:t>Ņemot vērā minēto, lūdzam precizēt un grozīt Nolikuma tehniskās specifikācijas prasību atdzesējošajai stacijai. Tā kā audu iestrādes procesā uz dzesēšanas virsmas vienlaicīgi tiek novietotas nevis tukšas kasetes, bet gan iestrādes veidnes (</w:t>
            </w:r>
            <w:proofErr w:type="spellStart"/>
            <w:r w:rsidRPr="009B0355">
              <w:rPr>
                <w:rFonts w:ascii="Times New Roman" w:hAnsi="Times New Roman"/>
                <w:sz w:val="23"/>
                <w:szCs w:val="23"/>
              </w:rPr>
              <w:t>molds</w:t>
            </w:r>
            <w:proofErr w:type="spellEnd"/>
            <w:r w:rsidRPr="009B0355">
              <w:rPr>
                <w:rFonts w:ascii="Times New Roman" w:hAnsi="Times New Roman"/>
                <w:sz w:val="23"/>
                <w:szCs w:val="23"/>
              </w:rPr>
              <w:t>), kurās kasetes kalpo tikai kā pamatne, lūdzam apstiprināt, vai komisija akceptēs dzesēšanas staciju, kuras darba virsma ir paredzēta līdz 60 standarta iestrādes veidnēm vienlaicīgai dzesēšanai, tādējādi nodrošinot augstāku konkurenci un ļaujot iepirkumā piedalīties pasaulē atzītiem, inovatīviem histoloģijas iekārtu ražotājiem.</w:t>
            </w:r>
          </w:p>
          <w:p w14:paraId="39FA2D13" w14:textId="77777777" w:rsidR="00C0008D" w:rsidRPr="009B0355" w:rsidRDefault="00C0008D" w:rsidP="00445372">
            <w:pPr>
              <w:jc w:val="both"/>
              <w:rPr>
                <w:rFonts w:ascii="Times New Roman" w:hAnsi="Times New Roman"/>
                <w:sz w:val="23"/>
                <w:szCs w:val="23"/>
              </w:rPr>
            </w:pPr>
          </w:p>
          <w:p w14:paraId="4DA0017A" w14:textId="77777777" w:rsidR="00C0008D" w:rsidRPr="009B0355" w:rsidRDefault="00C0008D" w:rsidP="00445372">
            <w:pPr>
              <w:jc w:val="both"/>
              <w:rPr>
                <w:rFonts w:ascii="Times New Roman" w:hAnsi="Times New Roman"/>
                <w:b/>
                <w:bCs/>
                <w:sz w:val="23"/>
                <w:szCs w:val="23"/>
              </w:rPr>
            </w:pPr>
            <w:r w:rsidRPr="009B0355">
              <w:rPr>
                <w:rFonts w:ascii="Times New Roman" w:hAnsi="Times New Roman"/>
                <w:b/>
                <w:bCs/>
                <w:sz w:val="23"/>
                <w:szCs w:val="23"/>
              </w:rPr>
              <w:t>Kom</w:t>
            </w:r>
            <w:r>
              <w:rPr>
                <w:rFonts w:ascii="Times New Roman" w:hAnsi="Times New Roman"/>
                <w:b/>
                <w:bCs/>
                <w:sz w:val="23"/>
                <w:szCs w:val="23"/>
              </w:rPr>
              <w:t>i</w:t>
            </w:r>
            <w:r w:rsidRPr="009B0355">
              <w:rPr>
                <w:rFonts w:ascii="Times New Roman" w:hAnsi="Times New Roman"/>
                <w:b/>
                <w:bCs/>
                <w:sz w:val="23"/>
                <w:szCs w:val="23"/>
              </w:rPr>
              <w:t xml:space="preserve">sijas atbilde: </w:t>
            </w:r>
          </w:p>
          <w:p w14:paraId="0E657B6B" w14:textId="77777777" w:rsidR="00C0008D" w:rsidRPr="009B0355" w:rsidRDefault="00C0008D" w:rsidP="00445372">
            <w:pPr>
              <w:jc w:val="both"/>
              <w:rPr>
                <w:rFonts w:ascii="Times New Roman" w:hAnsi="Times New Roman"/>
                <w:sz w:val="23"/>
                <w:szCs w:val="23"/>
              </w:rPr>
            </w:pPr>
            <w:r w:rsidRPr="009B0355">
              <w:rPr>
                <w:rFonts w:ascii="Times New Roman" w:hAnsi="Times New Roman"/>
                <w:sz w:val="23"/>
                <w:szCs w:val="23"/>
              </w:rPr>
              <w:t>Komisija skaidro, ka tehniskās specifikācijas 5.3. punktā „Atdzesējošā stacija” nav noteikta konkrēta kasešu ietilpība. Līdz ar to prasība par darba virsmas ietilpību vismaz 150 kasetēm nav attiecināma uz 5.3. punktā „Atdzesējošā stacija” norādīto stacijas daļu.</w:t>
            </w:r>
          </w:p>
          <w:p w14:paraId="663C6008" w14:textId="77777777" w:rsidR="00C0008D" w:rsidRPr="009B0355" w:rsidRDefault="00C0008D" w:rsidP="00445372">
            <w:pPr>
              <w:jc w:val="both"/>
              <w:rPr>
                <w:rFonts w:ascii="Times New Roman" w:hAnsi="Times New Roman"/>
                <w:sz w:val="23"/>
                <w:szCs w:val="23"/>
              </w:rPr>
            </w:pPr>
            <w:r w:rsidRPr="009B0355">
              <w:rPr>
                <w:rFonts w:ascii="Times New Roman" w:hAnsi="Times New Roman"/>
                <w:sz w:val="23"/>
                <w:szCs w:val="23"/>
              </w:rPr>
              <w:t>Vienlaikus Komisija precizē, ka prasība „Ietilpība vismaz 150 kasetes” ir attiecināma uz tehniskās specifikācijas 5.2. punktā „Apsildāma parafīna iegulšanas stacija” norādīto stacijas daļu.</w:t>
            </w:r>
          </w:p>
          <w:p w14:paraId="353CFA88" w14:textId="77777777" w:rsidR="00C0008D" w:rsidRPr="009B0355" w:rsidRDefault="00C0008D" w:rsidP="00445372">
            <w:pPr>
              <w:jc w:val="both"/>
              <w:rPr>
                <w:rFonts w:ascii="Times New Roman" w:hAnsi="Times New Roman"/>
                <w:sz w:val="23"/>
                <w:szCs w:val="23"/>
              </w:rPr>
            </w:pPr>
            <w:r w:rsidRPr="009B0355">
              <w:rPr>
                <w:rFonts w:ascii="Times New Roman" w:hAnsi="Times New Roman"/>
                <w:sz w:val="23"/>
                <w:szCs w:val="23"/>
              </w:rPr>
              <w:t>Minētā prasība par vismaz 150 kasešu ietilpību attiecas uz apsildāmo parafīna iegulšanas staciju un ir uzskatāma par attiecīgās stacijas standarta ietilpību, kas atbilst vairāku ražotāju piedāvātajiem risinājumiem. Tādējādi šī prasība nav uzskatāma par nepamatotu konkurences ierobežojumu.</w:t>
            </w:r>
          </w:p>
          <w:p w14:paraId="7F641542" w14:textId="77777777" w:rsidR="00C0008D" w:rsidRPr="009B0355" w:rsidRDefault="00C0008D" w:rsidP="00445372">
            <w:pPr>
              <w:jc w:val="both"/>
              <w:rPr>
                <w:rFonts w:ascii="Times New Roman" w:hAnsi="Times New Roman"/>
                <w:sz w:val="23"/>
                <w:szCs w:val="23"/>
              </w:rPr>
            </w:pPr>
            <w:r w:rsidRPr="009B0355">
              <w:rPr>
                <w:rFonts w:ascii="Times New Roman" w:hAnsi="Times New Roman"/>
                <w:sz w:val="23"/>
                <w:szCs w:val="23"/>
              </w:rPr>
              <w:t xml:space="preserve">Līdz ar to Komisija norāda, ka pretendenta jautājumā ir nepareizi interpretēta tehniskajā specifikācijā noteiktā prasība, jo prasība par vismaz 150 kasešu ietilpību ir attiecināma uz 5.2. punktā „Apsildāma parafīna iegulšanas stacija” norādīto stacijas daļu, nevis uz 5.3. punktā „Atdzesējošā stacija” norādīto stacijas daļu. </w:t>
            </w:r>
          </w:p>
          <w:p w14:paraId="3D908DB9" w14:textId="77777777" w:rsidR="00C0008D" w:rsidRDefault="00C0008D" w:rsidP="00445372">
            <w:pPr>
              <w:jc w:val="both"/>
              <w:rPr>
                <w:rFonts w:ascii="Times New Roman" w:hAnsi="Times New Roman"/>
                <w:sz w:val="23"/>
                <w:szCs w:val="23"/>
              </w:rPr>
            </w:pPr>
            <w:r w:rsidRPr="009B0355">
              <w:rPr>
                <w:rFonts w:ascii="Times New Roman" w:hAnsi="Times New Roman"/>
                <w:sz w:val="23"/>
                <w:szCs w:val="23"/>
              </w:rPr>
              <w:t>Pamatojoties uz Komisijas sniegtajiem paskaidrojumiem, izmaiņas tehniskajā specifikācijā netiks veiktas.</w:t>
            </w:r>
          </w:p>
        </w:tc>
      </w:tr>
      <w:tr w:rsidR="00C0008D" w14:paraId="0C92C386" w14:textId="77777777" w:rsidTr="00445372">
        <w:tc>
          <w:tcPr>
            <w:tcW w:w="9344" w:type="dxa"/>
          </w:tcPr>
          <w:p w14:paraId="3D501B66" w14:textId="77777777" w:rsidR="00C0008D" w:rsidRDefault="00C0008D" w:rsidP="00445372">
            <w:pPr>
              <w:jc w:val="both"/>
              <w:rPr>
                <w:rFonts w:ascii="Times New Roman" w:hAnsi="Times New Roman"/>
                <w:b/>
                <w:bCs/>
                <w:sz w:val="23"/>
                <w:szCs w:val="23"/>
              </w:rPr>
            </w:pPr>
          </w:p>
          <w:p w14:paraId="4537E681" w14:textId="77777777" w:rsidR="00C0008D" w:rsidRPr="009B0355" w:rsidRDefault="00C0008D" w:rsidP="00445372">
            <w:pPr>
              <w:jc w:val="both"/>
              <w:rPr>
                <w:rFonts w:ascii="Times New Roman" w:hAnsi="Times New Roman"/>
                <w:b/>
                <w:bCs/>
                <w:sz w:val="23"/>
                <w:szCs w:val="23"/>
              </w:rPr>
            </w:pPr>
            <w:r w:rsidRPr="009B0355">
              <w:rPr>
                <w:rFonts w:ascii="Times New Roman" w:hAnsi="Times New Roman"/>
                <w:b/>
                <w:bCs/>
                <w:sz w:val="23"/>
                <w:szCs w:val="23"/>
              </w:rPr>
              <w:t>6.pozīcija - Automātiskais audu procesors</w:t>
            </w:r>
          </w:p>
        </w:tc>
      </w:tr>
      <w:tr w:rsidR="00C0008D" w14:paraId="3C413B00" w14:textId="77777777" w:rsidTr="00445372">
        <w:tc>
          <w:tcPr>
            <w:tcW w:w="9344" w:type="dxa"/>
          </w:tcPr>
          <w:p w14:paraId="7563AB4A" w14:textId="77777777" w:rsidR="00C0008D" w:rsidRPr="009B0355" w:rsidRDefault="00C0008D" w:rsidP="00445372">
            <w:p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Saistībā ar šobrīd izsludināto iepirkuma procedūru automātiskā audu procesora iegādei un veiktajām papildu konsultācijām ar tirgus dalībniekiem, ir identificēta nepieciešamība veikt tehniskās specifikācijas precizējumus, lai nodrošinātu procedūras tiesisku un sekmīgu norisi.</w:t>
            </w:r>
          </w:p>
          <w:p w14:paraId="0BAF3E41" w14:textId="77777777" w:rsidR="00C0008D" w:rsidRPr="009B0355" w:rsidRDefault="00C0008D" w:rsidP="00445372">
            <w:p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 xml:space="preserve">Konstatēts, ka esošā specifikācijas redakcija satur vairākus konstruktīvus parametrus (tādus kā prasība pēc tieši divām identiskām, mehāniski neatkarīgām darba kamerām un specifiskiem vakuuma/spiediena sliekšņiem), kas tehniski ierobežo konkurenci un pieļauj tikai viena konkrēta </w:t>
            </w:r>
            <w:r w:rsidRPr="009B0355">
              <w:rPr>
                <w:rFonts w:ascii="Times New Roman" w:eastAsia="Aptos" w:hAnsi="Times New Roman"/>
                <w:kern w:val="2"/>
                <w14:ligatures w14:val="standardContextual"/>
              </w:rPr>
              <w:lastRenderedPageBreak/>
              <w:t>ražotāja (</w:t>
            </w:r>
            <w:proofErr w:type="spellStart"/>
            <w:r w:rsidRPr="009B0355">
              <w:rPr>
                <w:rFonts w:ascii="Times New Roman" w:eastAsia="Aptos" w:hAnsi="Times New Roman"/>
                <w:i/>
                <w:iCs/>
                <w:kern w:val="2"/>
                <w14:ligatures w14:val="standardContextual"/>
              </w:rPr>
              <w:t>Leica</w:t>
            </w:r>
            <w:proofErr w:type="spellEnd"/>
            <w:r w:rsidRPr="009B0355">
              <w:rPr>
                <w:rFonts w:ascii="Times New Roman" w:eastAsia="Aptos" w:hAnsi="Times New Roman"/>
                <w:i/>
                <w:iCs/>
                <w:kern w:val="2"/>
                <w14:ligatures w14:val="standardContextual"/>
              </w:rPr>
              <w:t xml:space="preserve"> </w:t>
            </w:r>
            <w:proofErr w:type="spellStart"/>
            <w:r w:rsidRPr="009B0355">
              <w:rPr>
                <w:rFonts w:ascii="Times New Roman" w:eastAsia="Aptos" w:hAnsi="Times New Roman"/>
                <w:i/>
                <w:iCs/>
                <w:kern w:val="2"/>
                <w14:ligatures w14:val="standardContextual"/>
              </w:rPr>
              <w:t>Biosystems</w:t>
            </w:r>
            <w:proofErr w:type="spellEnd"/>
            <w:r w:rsidRPr="009B0355">
              <w:rPr>
                <w:rFonts w:ascii="Times New Roman" w:eastAsia="Aptos" w:hAnsi="Times New Roman"/>
                <w:kern w:val="2"/>
                <w14:ligatures w14:val="standardContextual"/>
              </w:rPr>
              <w:t>) dalību konkursā. Citi vadošie tirgus spēlētāji šādām prasībām kvalificēties nevar, lai gan funkcionāli nodrošina tādu pašu vai augstāku darba rezultātu un ražību.</w:t>
            </w:r>
          </w:p>
          <w:p w14:paraId="5CF40D91" w14:textId="77777777" w:rsidR="00C0008D" w:rsidRPr="009B0355" w:rsidRDefault="00C0008D" w:rsidP="00445372">
            <w:p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Saskaņā ar Publisko iepirkumu likumu, specifikācijā nedrīkst iekļaut nosacījumus, kas rada nepamatotas priekšrocības kādam pretendentam vai nepamatoti ierobežo konkurenci. Lai novērstu sūdzību iesniegšanas risku Iepirkumu uzraudzības birojā (IUB), kas var novest pie konkursa apturēšanas un laika zaudējuma, ierosinu veikt grozījumus tehniskajā specifikācijā, pārejot uz tehnoloģiski neitrāliem un funkcionāliem formulējumiem.</w:t>
            </w:r>
          </w:p>
          <w:p w14:paraId="19B9583B" w14:textId="77777777" w:rsidR="00C0008D" w:rsidRPr="009B0355" w:rsidRDefault="00C0008D" w:rsidP="00445372">
            <w:pPr>
              <w:spacing w:after="160" w:line="276" w:lineRule="auto"/>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Grozījumu veikšanas ieguvumi izsludinātajā konkursā:</w:t>
            </w:r>
          </w:p>
          <w:p w14:paraId="767AA021" w14:textId="77777777" w:rsidR="00C0008D" w:rsidRPr="009B0355" w:rsidRDefault="00C0008D" w:rsidP="00C0008D">
            <w:pPr>
              <w:numPr>
                <w:ilvl w:val="0"/>
                <w:numId w:val="1"/>
              </w:num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Tiesisko risku novēršana:</w:t>
            </w:r>
            <w:r w:rsidRPr="009B0355">
              <w:rPr>
                <w:rFonts w:ascii="Times New Roman" w:eastAsia="Aptos" w:hAnsi="Times New Roman"/>
                <w:kern w:val="2"/>
                <w14:ligatures w14:val="standardContextual"/>
              </w:rPr>
              <w:t xml:space="preserve"> Specifikācijas sakārtošana atbilstoši IUB labajai praksei (tehnoloģiskā neitralitāte) pasargā iepirkumu no pārsūdzībām.</w:t>
            </w:r>
          </w:p>
          <w:p w14:paraId="595E03E1" w14:textId="77777777" w:rsidR="00C0008D" w:rsidRPr="009B0355" w:rsidRDefault="00C0008D" w:rsidP="00C0008D">
            <w:pPr>
              <w:numPr>
                <w:ilvl w:val="0"/>
                <w:numId w:val="1"/>
              </w:num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Reāla cenu konkurence:</w:t>
            </w:r>
            <w:r w:rsidRPr="009B0355">
              <w:rPr>
                <w:rFonts w:ascii="Times New Roman" w:eastAsia="Aptos" w:hAnsi="Times New Roman"/>
                <w:kern w:val="2"/>
                <w14:ligatures w14:val="standardContextual"/>
              </w:rPr>
              <w:t xml:space="preserve"> Paplašinot pretendentu loku līdz vismaz diviem neatkarīgiem piegādātājiem, komisija var sagaidīt finansiāli izdevīgākus piedāvājumus un budžeta ietaupījumu par 15%–30%.</w:t>
            </w:r>
          </w:p>
          <w:p w14:paraId="06C7AC2D" w14:textId="77777777" w:rsidR="00C0008D" w:rsidRPr="009B0355" w:rsidRDefault="00C0008D" w:rsidP="00C0008D">
            <w:pPr>
              <w:numPr>
                <w:ilvl w:val="0"/>
                <w:numId w:val="1"/>
              </w:num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Funkcionāls ieguvums:</w:t>
            </w:r>
            <w:r w:rsidRPr="009B0355">
              <w:rPr>
                <w:rFonts w:ascii="Times New Roman" w:eastAsia="Aptos" w:hAnsi="Times New Roman"/>
                <w:kern w:val="2"/>
                <w14:ligatures w14:val="standardContextual"/>
              </w:rPr>
              <w:t xml:space="preserve"> Laboratorija saņems modernu iekārtu, neierobežojot sevi ar konkrētu mehānisku dizainu, bet koncentrējoties uz gala rezultātu – ātru un kvalitatīvu audu apstrādi.</w:t>
            </w:r>
          </w:p>
          <w:p w14:paraId="3525013B" w14:textId="77777777" w:rsidR="00C0008D" w:rsidRPr="009B0355" w:rsidRDefault="00C0008D" w:rsidP="00445372">
            <w:p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Ņemot vērā minēto, lūdzu iepirkumu komisiju pagarināt piedāvājumu iesniegšanas termiņu (ja nepieciešams saskaņā ar likumu) un apstiprināt šādus grozījumus tehniskajā specifikācijā:</w:t>
            </w:r>
          </w:p>
          <w:p w14:paraId="67AD07D4" w14:textId="77777777" w:rsidR="00C0008D" w:rsidRPr="009B0355" w:rsidRDefault="00C0008D" w:rsidP="00445372">
            <w:pPr>
              <w:spacing w:after="160" w:line="276" w:lineRule="auto"/>
              <w:rPr>
                <w:rFonts w:ascii="Times New Roman" w:eastAsia="Aptos" w:hAnsi="Times New Roman"/>
                <w:b/>
                <w:bCs/>
                <w:kern w:val="2"/>
                <w14:ligatures w14:val="standardContextual"/>
              </w:rPr>
            </w:pPr>
          </w:p>
          <w:p w14:paraId="74123038" w14:textId="77777777" w:rsidR="00C0008D" w:rsidRPr="009B0355" w:rsidRDefault="00C0008D" w:rsidP="00445372">
            <w:pPr>
              <w:spacing w:after="160" w:line="276" w:lineRule="auto"/>
              <w:rPr>
                <w:rFonts w:ascii="Times New Roman" w:eastAsia="Aptos" w:hAnsi="Times New Roman"/>
                <w:b/>
                <w:bCs/>
                <w:kern w:val="2"/>
                <w14:ligatures w14:val="standardContextual"/>
              </w:rPr>
            </w:pPr>
          </w:p>
          <w:p w14:paraId="78D0DD3C" w14:textId="77777777" w:rsidR="00C0008D" w:rsidRPr="009B0355" w:rsidRDefault="00C0008D" w:rsidP="00445372">
            <w:pPr>
              <w:spacing w:after="160" w:line="276" w:lineRule="auto"/>
              <w:rPr>
                <w:rFonts w:ascii="Times New Roman" w:eastAsia="Aptos" w:hAnsi="Times New Roman"/>
                <w:b/>
                <w:bCs/>
                <w:kern w:val="2"/>
                <w14:ligatures w14:val="standardContextual"/>
              </w:rPr>
            </w:pPr>
          </w:p>
          <w:p w14:paraId="7FC4419A" w14:textId="77777777" w:rsidR="00C0008D" w:rsidRPr="009B0355" w:rsidRDefault="00C0008D" w:rsidP="00445372">
            <w:pPr>
              <w:spacing w:after="160" w:line="276" w:lineRule="auto"/>
              <w:rPr>
                <w:rFonts w:ascii="Times New Roman" w:eastAsia="Aptos" w:hAnsi="Times New Roman"/>
                <w:b/>
                <w:bCs/>
                <w:kern w:val="2"/>
                <w14:ligatures w14:val="standardContextual"/>
              </w:rPr>
            </w:pPr>
            <w:r w:rsidRPr="009B0355">
              <w:rPr>
                <w:rFonts w:ascii="Times New Roman" w:eastAsia="Aptos" w:hAnsi="Times New Roman"/>
                <w:b/>
                <w:bCs/>
                <w:kern w:val="2"/>
                <w14:ligatures w14:val="standardContextual"/>
              </w:rPr>
              <w:t>Tehniskās specifikācijas grozījumu projekts</w:t>
            </w:r>
          </w:p>
          <w:tbl>
            <w:tblPr>
              <w:tblW w:w="0" w:type="auto"/>
              <w:tblCellSpacing w:w="15" w:type="dxa"/>
              <w:tblLook w:val="04A0" w:firstRow="1" w:lastRow="0" w:firstColumn="1" w:lastColumn="0" w:noHBand="0" w:noVBand="1"/>
            </w:tblPr>
            <w:tblGrid>
              <w:gridCol w:w="1950"/>
              <w:gridCol w:w="3567"/>
              <w:gridCol w:w="2563"/>
            </w:tblGrid>
            <w:tr w:rsidR="00C0008D" w:rsidRPr="009B0355" w14:paraId="5C796D39" w14:textId="77777777" w:rsidTr="00445372">
              <w:trPr>
                <w:tblCellSpacing w:w="15" w:type="dxa"/>
              </w:trPr>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2715A60F" w14:textId="77777777" w:rsidR="00C0008D" w:rsidRPr="009B0355" w:rsidRDefault="00C0008D" w:rsidP="00445372">
                  <w:pPr>
                    <w:spacing w:after="160" w:line="276" w:lineRule="auto"/>
                    <w:rPr>
                      <w:rFonts w:ascii="Times New Roman" w:eastAsia="Aptos" w:hAnsi="Times New Roman"/>
                      <w:b/>
                      <w:bCs/>
                      <w:kern w:val="2"/>
                      <w14:ligatures w14:val="standardContextual"/>
                    </w:rPr>
                  </w:pPr>
                  <w:r w:rsidRPr="009B0355">
                    <w:rPr>
                      <w:rFonts w:ascii="Times New Roman" w:eastAsia="Aptos" w:hAnsi="Times New Roman"/>
                      <w:b/>
                      <w:bCs/>
                      <w:kern w:val="2"/>
                      <w14:ligatures w14:val="standardContextual"/>
                    </w:rPr>
                    <w:t>Esošā prasība (Izsludinātā redakcija)</w:t>
                  </w:r>
                </w:p>
              </w:tc>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049063B2" w14:textId="77777777" w:rsidR="00C0008D" w:rsidRPr="009B0355" w:rsidRDefault="00C0008D" w:rsidP="00445372">
                  <w:pPr>
                    <w:spacing w:after="160" w:line="276" w:lineRule="auto"/>
                    <w:rPr>
                      <w:rFonts w:ascii="Times New Roman" w:eastAsia="Aptos" w:hAnsi="Times New Roman"/>
                      <w:b/>
                      <w:bCs/>
                      <w:kern w:val="2"/>
                      <w14:ligatures w14:val="standardContextual"/>
                    </w:rPr>
                  </w:pPr>
                  <w:r w:rsidRPr="009B0355">
                    <w:rPr>
                      <w:rFonts w:ascii="Times New Roman" w:eastAsia="Aptos" w:hAnsi="Times New Roman"/>
                      <w:b/>
                      <w:bCs/>
                      <w:kern w:val="2"/>
                      <w14:ligatures w14:val="standardContextual"/>
                    </w:rPr>
                    <w:t>Jaunā ierosinātā redakcija (Grozījumi)</w:t>
                  </w:r>
                </w:p>
              </w:tc>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324D59C3" w14:textId="77777777" w:rsidR="00C0008D" w:rsidRPr="009B0355" w:rsidRDefault="00C0008D" w:rsidP="00445372">
                  <w:pPr>
                    <w:spacing w:after="160" w:line="276" w:lineRule="auto"/>
                    <w:rPr>
                      <w:rFonts w:ascii="Times New Roman" w:eastAsia="Aptos" w:hAnsi="Times New Roman"/>
                      <w:b/>
                      <w:bCs/>
                      <w:kern w:val="2"/>
                      <w14:ligatures w14:val="standardContextual"/>
                    </w:rPr>
                  </w:pPr>
                  <w:r w:rsidRPr="009B0355">
                    <w:rPr>
                      <w:rFonts w:ascii="Times New Roman" w:eastAsia="Aptos" w:hAnsi="Times New Roman"/>
                      <w:b/>
                      <w:bCs/>
                      <w:kern w:val="2"/>
                      <w14:ligatures w14:val="standardContextual"/>
                    </w:rPr>
                    <w:t>Grozījuma funkcionālais pamatojums un tiesiskā nepieciešamība</w:t>
                  </w:r>
                </w:p>
              </w:tc>
            </w:tr>
            <w:tr w:rsidR="00C0008D" w:rsidRPr="009B0355" w14:paraId="7F67370E" w14:textId="77777777" w:rsidTr="00445372">
              <w:trPr>
                <w:tblCellSpacing w:w="15" w:type="dxa"/>
              </w:trPr>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39600650" w14:textId="77777777" w:rsidR="00C0008D" w:rsidRPr="009B0355" w:rsidRDefault="00C0008D" w:rsidP="00445372">
                  <w:p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Iekārta ir aprīkota ar divām neatkarīgām darba kamerām, kas ļauj vienlaikus veikt paralēlu audu apstrādi atšķirīgos protokolos.</w:t>
                  </w:r>
                </w:p>
              </w:tc>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33DF0667" w14:textId="77777777" w:rsidR="00C0008D" w:rsidRPr="009B0355" w:rsidRDefault="00C0008D" w:rsidP="00445372">
                  <w:p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Iekārta nodrošina nepārtrauktu vai vienlaicīgu divu neatkarīgu audu apstrādes fāžu izpildi, izmantojot divu dobumu (</w:t>
                  </w:r>
                  <w:proofErr w:type="spellStart"/>
                  <w:r w:rsidRPr="009B0355">
                    <w:rPr>
                      <w:rFonts w:ascii="Times New Roman" w:eastAsia="Aptos" w:hAnsi="Times New Roman"/>
                      <w:kern w:val="2"/>
                      <w14:ligatures w14:val="standardContextual"/>
                    </w:rPr>
                    <w:t>Double</w:t>
                  </w:r>
                  <w:proofErr w:type="spellEnd"/>
                  <w:r w:rsidRPr="009B0355">
                    <w:rPr>
                      <w:rFonts w:ascii="Times New Roman" w:eastAsia="Aptos" w:hAnsi="Times New Roman"/>
                      <w:kern w:val="2"/>
                      <w14:ligatures w14:val="standardContextual"/>
                    </w:rPr>
                    <w:t xml:space="preserve"> </w:t>
                  </w:r>
                  <w:proofErr w:type="spellStart"/>
                  <w:r w:rsidRPr="009B0355">
                    <w:rPr>
                      <w:rFonts w:ascii="Times New Roman" w:eastAsia="Aptos" w:hAnsi="Times New Roman"/>
                      <w:kern w:val="2"/>
                      <w14:ligatures w14:val="standardContextual"/>
                    </w:rPr>
                    <w:t>cavity</w:t>
                  </w:r>
                  <w:proofErr w:type="spellEnd"/>
                  <w:r w:rsidRPr="009B0355">
                    <w:rPr>
                      <w:rFonts w:ascii="Times New Roman" w:eastAsia="Aptos" w:hAnsi="Times New Roman"/>
                      <w:kern w:val="2"/>
                      <w14:ligatures w14:val="standardContextual"/>
                    </w:rPr>
                    <w:t>) vai divu kameru sistēmu, kas nodrošina paralēlu paraugu plūsmu un neprasa starpciklu tīrīšanu.</w:t>
                  </w:r>
                </w:p>
              </w:tc>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0E056102" w14:textId="77777777" w:rsidR="00C0008D" w:rsidRPr="009B0355" w:rsidRDefault="00C0008D" w:rsidP="00445372">
                  <w:p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Novērš ierobežojumus, ko rada iekārtas ģeometriskā uzbūve. Ļauj kvalificēties gan paralēlajiem, gan hibrīda secīgajiem procesoriem, kas sniedz identisku rezultātu ikdienas darbā.</w:t>
                  </w:r>
                </w:p>
              </w:tc>
            </w:tr>
            <w:tr w:rsidR="00C0008D" w:rsidRPr="009B0355" w14:paraId="2E38360B" w14:textId="77777777" w:rsidTr="00445372">
              <w:trPr>
                <w:tblCellSpacing w:w="15" w:type="dxa"/>
              </w:trPr>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35B8102B"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Katras darba kameras ietilpība – no 150 līdz 200 kasetēm.</w:t>
                  </w:r>
                </w:p>
              </w:tc>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715113AA"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Iekārtas kopējā vienlaicīgā ietilpība ir vismaz 210 kasetes (standarta izmēra histoloģiskās kasetes), nodrošinot augstu paraugu caurlaidību.</w:t>
                  </w:r>
                </w:p>
              </w:tc>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4E6C5CFD"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 xml:space="preserve">Salāgo sliekšņus ar abu vadošo ražotāju standarta moduļu un paraugu grozu ietilpību, novēršot </w:t>
                  </w:r>
                  <w:r w:rsidRPr="009B0355">
                    <w:rPr>
                      <w:rFonts w:ascii="Times New Roman" w:eastAsia="Aptos" w:hAnsi="Times New Roman"/>
                      <w:kern w:val="2"/>
                      <w:lang w:val="pl-PL"/>
                      <w14:ligatures w14:val="standardContextual"/>
                    </w:rPr>
                    <w:lastRenderedPageBreak/>
                    <w:t>mākslīgu pretendentu noraidīšanu.</w:t>
                  </w:r>
                </w:p>
              </w:tc>
            </w:tr>
            <w:tr w:rsidR="00C0008D" w:rsidRPr="009B0355" w14:paraId="7C303571" w14:textId="77777777" w:rsidTr="00445372">
              <w:trPr>
                <w:tblCellSpacing w:w="15" w:type="dxa"/>
              </w:trPr>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3D7E1F8F"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lastRenderedPageBreak/>
                    <w:t>Infiltrācijas vakuums vismaz -60 kPa.</w:t>
                  </w:r>
                  <w:r w:rsidRPr="009B0355">
                    <w:rPr>
                      <w:rFonts w:ascii="Times New Roman" w:eastAsia="Aptos" w:hAnsi="Times New Roman"/>
                      <w:kern w:val="2"/>
                      <w:lang w:val="pl-PL"/>
                      <w14:ligatures w14:val="standardContextual"/>
                    </w:rPr>
                    <w:br/>
                    <w:t>Infiltrācijas spiediens vismaz +40 kPa.</w:t>
                  </w:r>
                </w:p>
              </w:tc>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2A8D8971"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Audu apstrādes paātrināšanai iekārta izmanto vakuuma un spiediena sistēmu VAI kombinēto hibrīda tehnoloģiju (kas apvieno kontrolētu mikroviļņu enerģiju un elektrisko pretestības sildīšanu).</w:t>
                  </w:r>
                </w:p>
              </w:tc>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12DE7B63"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Atver iepirkumu ražotājiem, kuru tehnoloģija infiltrācijas paātrināšanai izmanto fiziski ātrākas mikroviļņu svārstības, nevis paļaujas tikai uz augstu mehānisko spiedienu.</w:t>
                  </w:r>
                </w:p>
              </w:tc>
            </w:tr>
            <w:tr w:rsidR="00C0008D" w:rsidRPr="009B0355" w14:paraId="1C7306FA" w14:textId="77777777" w:rsidTr="00445372">
              <w:trPr>
                <w:tblCellSpacing w:w="15" w:type="dxa"/>
              </w:trPr>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607F1DE5" w14:textId="77777777" w:rsidR="00C0008D" w:rsidRPr="009B0355" w:rsidRDefault="00C0008D" w:rsidP="00445372">
                  <w:p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Parafīna vannu skaits vismaz 3 gab.</w:t>
                  </w:r>
                  <w:r w:rsidRPr="009B0355">
                    <w:rPr>
                      <w:rFonts w:ascii="Times New Roman" w:eastAsia="Aptos" w:hAnsi="Times New Roman"/>
                      <w:kern w:val="2"/>
                      <w14:ligatures w14:val="standardContextual"/>
                    </w:rPr>
                    <w:br/>
                    <w:t>Katras parafīna vannas tilpums diapazonā no 3,5 līdz 5 litriem.</w:t>
                  </w:r>
                </w:p>
              </w:tc>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07AABF20"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Iekārta ir aprīkota ar integrētu parafīna kausēšanas un infiltrācijas sistēmu ar kopējo vaska ietilpības tilpumu ne mazāku par 3,5 litriem, kas nodrošina pilnīgu paraugu infiltrāciju bez nepieciešamības pēc manuālas vaska pārneses ciklu laikā.</w:t>
                  </w:r>
                </w:p>
              </w:tc>
              <w:tc>
                <w:tcPr>
                  <w:tcW w:w="0" w:type="auto"/>
                  <w:tcBorders>
                    <w:top w:val="nil"/>
                    <w:left w:val="nil"/>
                    <w:bottom w:val="single" w:sz="6" w:space="0" w:color="DCDFE5"/>
                    <w:right w:val="nil"/>
                  </w:tcBorders>
                  <w:tcMar>
                    <w:top w:w="15" w:type="dxa"/>
                    <w:left w:w="15" w:type="dxa"/>
                    <w:bottom w:w="15" w:type="dxa"/>
                    <w:right w:w="15" w:type="dxa"/>
                  </w:tcMar>
                  <w:vAlign w:val="center"/>
                  <w:hideMark/>
                </w:tcPr>
                <w:p w14:paraId="3C72D570"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Novērš ierobežojumus, ko rada atšķirīgas vaska tvertņu konfigurācijas starp ražotājiem, saglabājot prasību par minimālo reaģenta tilpumu.</w:t>
                  </w:r>
                </w:p>
              </w:tc>
            </w:tr>
            <w:tr w:rsidR="00C0008D" w:rsidRPr="009B0355" w14:paraId="2DEC33E3" w14:textId="77777777" w:rsidTr="00445372">
              <w:trPr>
                <w:tblCellSpacing w:w="15" w:type="dxa"/>
              </w:trPr>
              <w:tc>
                <w:tcPr>
                  <w:tcW w:w="0" w:type="auto"/>
                  <w:tcMar>
                    <w:top w:w="15" w:type="dxa"/>
                    <w:left w:w="15" w:type="dxa"/>
                    <w:bottom w:w="15" w:type="dxa"/>
                    <w:right w:w="15" w:type="dxa"/>
                  </w:tcMar>
                  <w:vAlign w:val="center"/>
                  <w:hideMark/>
                </w:tcPr>
                <w:p w14:paraId="03DF5DC5"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Reaģentu pudele tilpums diapazonā no 3,5 līdz 5 L.</w:t>
                  </w:r>
                </w:p>
              </w:tc>
              <w:tc>
                <w:tcPr>
                  <w:tcW w:w="0" w:type="auto"/>
                  <w:tcMar>
                    <w:top w:w="15" w:type="dxa"/>
                    <w:left w:w="15" w:type="dxa"/>
                    <w:bottom w:w="15" w:type="dxa"/>
                    <w:right w:w="15" w:type="dxa"/>
                  </w:tcMar>
                  <w:vAlign w:val="center"/>
                  <w:hideMark/>
                </w:tcPr>
                <w:p w14:paraId="2B1D03D8"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Reaģentu sistēma ir savietojama ar oriģinālajiem reaģentu traukiem vai standarta rūpnieciskajiem konteineriem/kanistrām tilpumā no 3,5 līdz 5 litriem, nodrošinot tiešu reaģentu nomaiņu bez šķidrumu pārliešanas.</w:t>
                  </w:r>
                </w:p>
              </w:tc>
              <w:tc>
                <w:tcPr>
                  <w:tcW w:w="0" w:type="auto"/>
                  <w:tcMar>
                    <w:top w:w="15" w:type="dxa"/>
                    <w:left w:w="15" w:type="dxa"/>
                    <w:bottom w:w="15" w:type="dxa"/>
                    <w:right w:w="15" w:type="dxa"/>
                  </w:tcMar>
                  <w:vAlign w:val="center"/>
                  <w:hideMark/>
                </w:tcPr>
                <w:p w14:paraId="13292E91"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Pieļauj hibrīdiekārtu risinājumu, kur rūpnieciskie reaģentu kanistri tiek ievietoti tieši aparātā, tādējādi samazinot personāla saskari ar toksiskiem tvaikiem.</w:t>
                  </w:r>
                </w:p>
              </w:tc>
            </w:tr>
          </w:tbl>
          <w:p w14:paraId="598F62AE"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Lūdzu iepirkumu komisiju pieņemt lēmumu par grozījumu izsludināšanu un attiecīgu paziņojumu publicēšanu pircēja profilā / EIS sistēmā.</w:t>
            </w:r>
          </w:p>
          <w:p w14:paraId="6CC99788" w14:textId="77777777" w:rsidR="00C0008D" w:rsidRPr="009B0355" w:rsidRDefault="00C0008D" w:rsidP="00445372">
            <w:pPr>
              <w:spacing w:after="160" w:line="276" w:lineRule="auto"/>
              <w:rPr>
                <w:rFonts w:ascii="Times New Roman" w:eastAsia="Aptos" w:hAnsi="Times New Roman"/>
                <w:b/>
                <w:bCs/>
                <w:kern w:val="2"/>
                <w:lang w:val="pl-PL"/>
                <w14:ligatures w14:val="standardContextual"/>
              </w:rPr>
            </w:pPr>
            <w:r w:rsidRPr="009B0355">
              <w:rPr>
                <w:rFonts w:ascii="Times New Roman" w:eastAsia="Aptos" w:hAnsi="Times New Roman"/>
                <w:b/>
                <w:bCs/>
                <w:kern w:val="2"/>
                <w:lang w:val="pl-PL"/>
                <w14:ligatures w14:val="standardContextual"/>
              </w:rPr>
              <w:t xml:space="preserve">Komisijas atbilde: </w:t>
            </w:r>
          </w:p>
          <w:p w14:paraId="0CC732F2" w14:textId="77777777" w:rsidR="00C0008D" w:rsidRPr="009B0355" w:rsidRDefault="00C0008D" w:rsidP="00C0008D">
            <w:pPr>
              <w:numPr>
                <w:ilvl w:val="0"/>
                <w:numId w:val="2"/>
              </w:numPr>
              <w:spacing w:after="160" w:line="276" w:lineRule="auto"/>
              <w:contextualSpacing/>
              <w:rPr>
                <w:rFonts w:ascii="Aptos" w:eastAsia="Aptos" w:hAnsi="Aptos"/>
                <w:kern w:val="2"/>
                <w:lang w:val="pl-PL"/>
                <w14:ligatures w14:val="standardContextual"/>
              </w:rPr>
            </w:pPr>
            <w:proofErr w:type="spellStart"/>
            <w:r w:rsidRPr="009B0355">
              <w:rPr>
                <w:rFonts w:ascii="Times New Roman" w:eastAsia="Aptos" w:hAnsi="Times New Roman"/>
                <w:b/>
                <w:bCs/>
                <w:kern w:val="2"/>
                <w:lang w:val="en-US"/>
                <w14:ligatures w14:val="standardContextual"/>
              </w:rPr>
              <w:t>Jaunā</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ierosinātā</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redakcija</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Grozījumi</w:t>
            </w:r>
            <w:proofErr w:type="spellEnd"/>
            <w:r w:rsidRPr="009B0355">
              <w:rPr>
                <w:rFonts w:ascii="Times New Roman" w:eastAsia="Aptos" w:hAnsi="Times New Roman"/>
                <w:b/>
                <w:bCs/>
                <w:kern w:val="2"/>
                <w:lang w:val="en-US"/>
                <w14:ligatures w14:val="standardContextual"/>
              </w:rPr>
              <w:t xml:space="preserve">): </w:t>
            </w:r>
          </w:p>
          <w:p w14:paraId="50FA2F2D"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Iekārta nodrošina nepārtrauktu vai vienlaicīgu divu neatkarīgu audu apstrādes fāžu izpildi, izmantojot divu dobumu (Double cavity) vai divu kameru sistēmu, kas nodrošina paralēlu paraugu plūsmu un neprasa starpciklu tīrīšanu.</w:t>
            </w:r>
          </w:p>
          <w:p w14:paraId="28F0B335" w14:textId="77777777" w:rsidR="00C0008D" w:rsidRPr="009B0355" w:rsidRDefault="00C0008D" w:rsidP="00445372">
            <w:pPr>
              <w:spacing w:line="276" w:lineRule="auto"/>
              <w:jc w:val="both"/>
              <w:rPr>
                <w:rFonts w:ascii="Times New Roman" w:eastAsia="Aptos" w:hAnsi="Times New Roman"/>
                <w:kern w:val="2"/>
                <w14:ligatures w14:val="standardContextual"/>
              </w:rPr>
            </w:pPr>
            <w:r w:rsidRPr="009B0355">
              <w:rPr>
                <w:rFonts w:ascii="Times New Roman" w:eastAsia="Aptos" w:hAnsi="Times New Roman"/>
                <w:b/>
                <w:bCs/>
                <w:i/>
                <w:iCs/>
                <w:kern w:val="2"/>
                <w14:ligatures w14:val="standardContextual"/>
              </w:rPr>
              <w:t>Komisija skaidro</w:t>
            </w:r>
            <w:r w:rsidRPr="009B0355">
              <w:rPr>
                <w:rFonts w:ascii="Times New Roman" w:eastAsia="Aptos" w:hAnsi="Times New Roman"/>
                <w:kern w:val="2"/>
                <w14:ligatures w14:val="standardContextual"/>
              </w:rPr>
              <w:t>, ka tehniskās specifikācijas prasības izpildei ir pieļaujams arī risinājums, kurā divu neatkarīgu darba kameru funkcionalitāte tiek nodrošināta, izmantojot divu dobumu (</w:t>
            </w:r>
            <w:proofErr w:type="spellStart"/>
            <w:r w:rsidRPr="009B0355">
              <w:rPr>
                <w:rFonts w:ascii="Times New Roman" w:eastAsia="Aptos" w:hAnsi="Times New Roman"/>
                <w:i/>
                <w:iCs/>
                <w:kern w:val="2"/>
                <w14:ligatures w14:val="standardContextual"/>
              </w:rPr>
              <w:t>Double</w:t>
            </w:r>
            <w:proofErr w:type="spellEnd"/>
            <w:r w:rsidRPr="009B0355">
              <w:rPr>
                <w:rFonts w:ascii="Times New Roman" w:eastAsia="Aptos" w:hAnsi="Times New Roman"/>
                <w:i/>
                <w:iCs/>
                <w:kern w:val="2"/>
                <w14:ligatures w14:val="standardContextual"/>
              </w:rPr>
              <w:t xml:space="preserve"> </w:t>
            </w:r>
            <w:proofErr w:type="spellStart"/>
            <w:r w:rsidRPr="009B0355">
              <w:rPr>
                <w:rFonts w:ascii="Times New Roman" w:eastAsia="Aptos" w:hAnsi="Times New Roman"/>
                <w:i/>
                <w:iCs/>
                <w:kern w:val="2"/>
                <w14:ligatures w14:val="standardContextual"/>
              </w:rPr>
              <w:t>cavity</w:t>
            </w:r>
            <w:proofErr w:type="spellEnd"/>
            <w:r w:rsidRPr="009B0355">
              <w:rPr>
                <w:rFonts w:ascii="Times New Roman" w:eastAsia="Aptos" w:hAnsi="Times New Roman"/>
                <w:kern w:val="2"/>
                <w14:ligatures w14:val="standardContextual"/>
              </w:rPr>
              <w:t>) sistēmu. Būtiski ir tas, lai piedāvātais tehniskais risinājums nodrošinātu iespēju vienlaikus veikt paralēlu audu apstrādi atšķirīgos protokolos, nodrošinot neatkarīgu paraugu plūsmu.</w:t>
            </w:r>
          </w:p>
          <w:p w14:paraId="3517B446" w14:textId="77777777" w:rsidR="00C0008D" w:rsidRPr="009B0355" w:rsidRDefault="00C0008D" w:rsidP="00445372">
            <w:pPr>
              <w:spacing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Lai novērstu iespējamu atšķirīgu tehniskās specifikācijas prasības interpretāciju un ņemot vērā pretendenta sniegtos komentārus, Komisija ir izvērtējusi prasības formulējumu un nolēmusi veikt attiecīgus grozījumus tehniskajā specifikācijā.</w:t>
            </w:r>
          </w:p>
          <w:p w14:paraId="696BA7DC" w14:textId="77777777" w:rsidR="00C0008D" w:rsidRPr="009B0355" w:rsidRDefault="00C0008D" w:rsidP="00445372">
            <w:pPr>
              <w:spacing w:line="276" w:lineRule="auto"/>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Iepriekšējā redakcija:</w:t>
            </w:r>
            <w:r w:rsidRPr="009B0355">
              <w:rPr>
                <w:rFonts w:ascii="Times New Roman" w:eastAsia="Aptos" w:hAnsi="Times New Roman"/>
                <w:kern w:val="2"/>
                <w14:ligatures w14:val="standardContextual"/>
              </w:rPr>
              <w:br/>
              <w:t>6.2.3. „Iekārta ir aprīkota ar divām neatkarīgām darba kamerām, kas ļauj vienlaikus veikt paralēlu audu apstrādi atšķirīgos protokolos.”</w:t>
            </w:r>
          </w:p>
          <w:p w14:paraId="6213993B" w14:textId="77777777" w:rsidR="00C0008D" w:rsidRPr="009B0355" w:rsidRDefault="00C0008D" w:rsidP="00445372">
            <w:pPr>
              <w:spacing w:after="160" w:line="276" w:lineRule="auto"/>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lastRenderedPageBreak/>
              <w:t>Jaunā redakcija:</w:t>
            </w:r>
            <w:r w:rsidRPr="009B0355">
              <w:rPr>
                <w:rFonts w:ascii="Times New Roman" w:eastAsia="Aptos" w:hAnsi="Times New Roman"/>
                <w:kern w:val="2"/>
                <w14:ligatures w14:val="standardContextual"/>
              </w:rPr>
              <w:br/>
              <w:t>6.2.3. „ Iekārta ir aprīkota ar divām neatkarīgām darba kamerām vai dobumiem, kas ļauj vienlaikus veikt paralēlu audu apstrādi atšķirīgos protokolos.”</w:t>
            </w:r>
          </w:p>
          <w:p w14:paraId="24EA655F" w14:textId="77777777" w:rsidR="00C0008D" w:rsidRPr="009B0355" w:rsidRDefault="00C0008D" w:rsidP="00C0008D">
            <w:pPr>
              <w:numPr>
                <w:ilvl w:val="0"/>
                <w:numId w:val="2"/>
              </w:numPr>
              <w:spacing w:after="160" w:line="276" w:lineRule="auto"/>
              <w:contextualSpacing/>
              <w:rPr>
                <w:rFonts w:ascii="Aptos" w:eastAsia="Aptos" w:hAnsi="Aptos"/>
                <w:kern w:val="2"/>
                <w:lang w:val="pl-PL"/>
                <w14:ligatures w14:val="standardContextual"/>
              </w:rPr>
            </w:pPr>
            <w:proofErr w:type="spellStart"/>
            <w:r w:rsidRPr="009B0355">
              <w:rPr>
                <w:rFonts w:ascii="Times New Roman" w:eastAsia="Aptos" w:hAnsi="Times New Roman"/>
                <w:b/>
                <w:bCs/>
                <w:kern w:val="2"/>
                <w:lang w:val="en-US"/>
                <w14:ligatures w14:val="standardContextual"/>
              </w:rPr>
              <w:t>Jaunā</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ierosinātā</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redakcija</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Grozījumi</w:t>
            </w:r>
            <w:proofErr w:type="spellEnd"/>
            <w:r w:rsidRPr="009B0355">
              <w:rPr>
                <w:rFonts w:ascii="Times New Roman" w:eastAsia="Aptos" w:hAnsi="Times New Roman"/>
                <w:b/>
                <w:bCs/>
                <w:kern w:val="2"/>
                <w:lang w:val="en-US"/>
                <w14:ligatures w14:val="standardContextual"/>
              </w:rPr>
              <w:t xml:space="preserve">): </w:t>
            </w:r>
          </w:p>
          <w:p w14:paraId="4F3FA76E" w14:textId="77777777" w:rsidR="00C0008D" w:rsidRPr="009B0355" w:rsidRDefault="00C0008D" w:rsidP="00445372">
            <w:pPr>
              <w:spacing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Iekārtas kopējā vienlaicīgā ietilpība ir vismaz 210 kasetes (standarta izmēra histoloģiskās kasetes), nodrošinot augstu paraugu caurlaidību.</w:t>
            </w:r>
          </w:p>
          <w:p w14:paraId="58071075" w14:textId="77777777" w:rsidR="00C0008D" w:rsidRPr="009B0355" w:rsidRDefault="00C0008D" w:rsidP="00445372">
            <w:pPr>
              <w:spacing w:line="276" w:lineRule="auto"/>
              <w:rPr>
                <w:rFonts w:ascii="Times New Roman" w:eastAsia="Aptos" w:hAnsi="Times New Roman"/>
                <w:kern w:val="2"/>
                <w:lang w:val="pl-PL"/>
                <w14:ligatures w14:val="standardContextual"/>
              </w:rPr>
            </w:pPr>
          </w:p>
          <w:p w14:paraId="220F4F1E" w14:textId="77777777" w:rsidR="00C0008D" w:rsidRPr="009B0355" w:rsidRDefault="00C0008D" w:rsidP="00445372">
            <w:pPr>
              <w:spacing w:line="276" w:lineRule="auto"/>
              <w:jc w:val="both"/>
              <w:rPr>
                <w:rFonts w:ascii="Times New Roman" w:eastAsia="Aptos" w:hAnsi="Times New Roman"/>
                <w:kern w:val="2"/>
                <w14:ligatures w14:val="standardContextual"/>
              </w:rPr>
            </w:pPr>
            <w:r w:rsidRPr="009B0355">
              <w:rPr>
                <w:rFonts w:ascii="Times New Roman" w:eastAsia="Aptos" w:hAnsi="Times New Roman"/>
                <w:b/>
                <w:bCs/>
                <w:i/>
                <w:iCs/>
                <w:kern w:val="2"/>
                <w14:ligatures w14:val="standardContextual"/>
              </w:rPr>
              <w:t>Komisija ir izvērtējusi</w:t>
            </w:r>
            <w:r w:rsidRPr="009B0355">
              <w:rPr>
                <w:rFonts w:ascii="Times New Roman" w:eastAsia="Aptos" w:hAnsi="Times New Roman"/>
                <w:kern w:val="2"/>
                <w14:ligatures w14:val="standardContextual"/>
              </w:rPr>
              <w:t xml:space="preserve"> pretendenta sniegtos komentārus par darba kameru ietilpības prasību un, ir nolēmusi veikt grozījumus tehniskās specifikācijas attiecīgajā prasībā.</w:t>
            </w:r>
          </w:p>
          <w:p w14:paraId="405AF9FB" w14:textId="77777777" w:rsidR="00C0008D" w:rsidRPr="009B0355" w:rsidRDefault="00C0008D" w:rsidP="00445372">
            <w:pPr>
              <w:spacing w:line="276" w:lineRule="auto"/>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Iepriekšējā redakcija:</w:t>
            </w:r>
            <w:r w:rsidRPr="009B0355">
              <w:rPr>
                <w:rFonts w:ascii="Times New Roman" w:eastAsia="Aptos" w:hAnsi="Times New Roman"/>
                <w:kern w:val="2"/>
                <w14:ligatures w14:val="standardContextual"/>
              </w:rPr>
              <w:br/>
              <w:t>6.2.4. „Katras darba kameras ietilpība – no 150 līdz 200 kasetēm.”</w:t>
            </w:r>
          </w:p>
          <w:p w14:paraId="7D34E1FB" w14:textId="77777777" w:rsidR="00C0008D" w:rsidRPr="009B0355" w:rsidRDefault="00C0008D" w:rsidP="00445372">
            <w:pPr>
              <w:spacing w:after="160" w:line="276" w:lineRule="auto"/>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Jaunā redakcija:</w:t>
            </w:r>
            <w:r w:rsidRPr="009B0355">
              <w:rPr>
                <w:rFonts w:ascii="Times New Roman" w:eastAsia="Aptos" w:hAnsi="Times New Roman"/>
                <w:kern w:val="2"/>
                <w14:ligatures w14:val="standardContextual"/>
              </w:rPr>
              <w:br/>
              <w:t>6.2.4. „Katras darba kameras ietilpība vismaz 100 kasetes.”</w:t>
            </w:r>
          </w:p>
          <w:p w14:paraId="70CE452E" w14:textId="77777777" w:rsidR="00C0008D" w:rsidRPr="009B0355" w:rsidRDefault="00C0008D" w:rsidP="00C0008D">
            <w:pPr>
              <w:numPr>
                <w:ilvl w:val="0"/>
                <w:numId w:val="2"/>
              </w:numPr>
              <w:spacing w:after="160" w:line="276" w:lineRule="auto"/>
              <w:contextualSpacing/>
              <w:rPr>
                <w:rFonts w:ascii="Aptos" w:eastAsia="Aptos" w:hAnsi="Aptos"/>
                <w:kern w:val="2"/>
                <w:lang w:val="pl-PL"/>
                <w14:ligatures w14:val="standardContextual"/>
              </w:rPr>
            </w:pPr>
            <w:proofErr w:type="spellStart"/>
            <w:r w:rsidRPr="009B0355">
              <w:rPr>
                <w:rFonts w:ascii="Times New Roman" w:eastAsia="Aptos" w:hAnsi="Times New Roman"/>
                <w:b/>
                <w:bCs/>
                <w:kern w:val="2"/>
                <w:lang w:val="en-US"/>
                <w14:ligatures w14:val="standardContextual"/>
              </w:rPr>
              <w:t>Jaunā</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ierosinātā</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redakcija</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Grozījumi</w:t>
            </w:r>
            <w:proofErr w:type="spellEnd"/>
            <w:r w:rsidRPr="009B0355">
              <w:rPr>
                <w:rFonts w:ascii="Times New Roman" w:eastAsia="Aptos" w:hAnsi="Times New Roman"/>
                <w:b/>
                <w:bCs/>
                <w:kern w:val="2"/>
                <w:lang w:val="en-US"/>
                <w14:ligatures w14:val="standardContextual"/>
              </w:rPr>
              <w:t xml:space="preserve">): </w:t>
            </w:r>
          </w:p>
          <w:p w14:paraId="3440DE3D" w14:textId="77777777" w:rsidR="00C0008D"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Audu apstrādes paātrināšanai iekārta izmanto vakuuma un spiediena sistēmu VAI kombinēto hibrīda tehnoloģiju (kas apvieno kontrolētu mikroviļņu enerģiju un elektrisko pretestības sildīšanu).</w:t>
            </w:r>
          </w:p>
          <w:p w14:paraId="379A8C9F"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p>
          <w:p w14:paraId="3F118E06" w14:textId="77777777" w:rsidR="00C0008D" w:rsidRPr="009B0355" w:rsidRDefault="00C0008D" w:rsidP="00445372">
            <w:pPr>
              <w:spacing w:line="276" w:lineRule="auto"/>
              <w:jc w:val="both"/>
              <w:rPr>
                <w:rFonts w:ascii="Times New Roman" w:eastAsia="Aptos" w:hAnsi="Times New Roman"/>
                <w:kern w:val="2"/>
                <w14:ligatures w14:val="standardContextual"/>
              </w:rPr>
            </w:pPr>
            <w:r w:rsidRPr="009B0355">
              <w:rPr>
                <w:rFonts w:ascii="Times New Roman" w:eastAsia="Aptos" w:hAnsi="Times New Roman"/>
                <w:b/>
                <w:bCs/>
                <w:i/>
                <w:iCs/>
                <w:kern w:val="2"/>
                <w14:ligatures w14:val="standardContextual"/>
              </w:rPr>
              <w:t>Komisija ir izvērtējusi</w:t>
            </w:r>
            <w:r w:rsidRPr="009B0355">
              <w:rPr>
                <w:rFonts w:ascii="Times New Roman" w:eastAsia="Aptos" w:hAnsi="Times New Roman"/>
                <w:kern w:val="2"/>
                <w14:ligatures w14:val="standardContextual"/>
              </w:rPr>
              <w:t xml:space="preserve"> pretendenta sniegtos komentārus par audu apstrādes paātrināšanas tehnoloģisko risinājumu un, ir nolēmusi veikt grozījumus tehniskās specifikācijas attiecīgajā prasībā.</w:t>
            </w:r>
          </w:p>
          <w:p w14:paraId="1F8242FD" w14:textId="77777777" w:rsidR="00C0008D" w:rsidRPr="009B0355" w:rsidRDefault="00C0008D" w:rsidP="00445372">
            <w:pPr>
              <w:spacing w:line="276" w:lineRule="auto"/>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Iepriekšējā redakcija:</w:t>
            </w:r>
            <w:r w:rsidRPr="009B0355">
              <w:rPr>
                <w:rFonts w:ascii="Times New Roman" w:eastAsia="Aptos" w:hAnsi="Times New Roman"/>
                <w:kern w:val="2"/>
                <w14:ligatures w14:val="standardContextual"/>
              </w:rPr>
              <w:br/>
              <w:t>6.2.7. „</w:t>
            </w:r>
            <w:r w:rsidRPr="009B0355">
              <w:rPr>
                <w:rFonts w:ascii="Aptos" w:eastAsia="Aptos" w:hAnsi="Aptos"/>
                <w:kern w:val="2"/>
                <w14:ligatures w14:val="standardContextual"/>
              </w:rPr>
              <w:t xml:space="preserve"> </w:t>
            </w:r>
            <w:r w:rsidRPr="009B0355">
              <w:rPr>
                <w:rFonts w:ascii="Times New Roman" w:eastAsia="Aptos" w:hAnsi="Times New Roman"/>
                <w:kern w:val="2"/>
                <w14:ligatures w14:val="standardContextual"/>
              </w:rPr>
              <w:t xml:space="preserve">Infiltrācijas vakuums vismaz -60 </w:t>
            </w:r>
            <w:proofErr w:type="spellStart"/>
            <w:r w:rsidRPr="009B0355">
              <w:rPr>
                <w:rFonts w:ascii="Times New Roman" w:eastAsia="Aptos" w:hAnsi="Times New Roman"/>
                <w:kern w:val="2"/>
                <w14:ligatures w14:val="standardContextual"/>
              </w:rPr>
              <w:t>kPa</w:t>
            </w:r>
            <w:proofErr w:type="spellEnd"/>
            <w:r w:rsidRPr="009B0355">
              <w:rPr>
                <w:rFonts w:ascii="Times New Roman" w:eastAsia="Aptos" w:hAnsi="Times New Roman"/>
                <w:kern w:val="2"/>
                <w14:ligatures w14:val="standardContextual"/>
              </w:rPr>
              <w:t xml:space="preserve">.” un 6.2.8. “Infiltrācijas spiediens vismaz +40 </w:t>
            </w:r>
            <w:proofErr w:type="spellStart"/>
            <w:r w:rsidRPr="009B0355">
              <w:rPr>
                <w:rFonts w:ascii="Times New Roman" w:eastAsia="Aptos" w:hAnsi="Times New Roman"/>
                <w:kern w:val="2"/>
                <w14:ligatures w14:val="standardContextual"/>
              </w:rPr>
              <w:t>kPa</w:t>
            </w:r>
            <w:proofErr w:type="spellEnd"/>
            <w:r w:rsidRPr="009B0355">
              <w:rPr>
                <w:rFonts w:ascii="Times New Roman" w:eastAsia="Aptos" w:hAnsi="Times New Roman"/>
                <w:kern w:val="2"/>
                <w14:ligatures w14:val="standardContextual"/>
              </w:rPr>
              <w:t>.”</w:t>
            </w:r>
          </w:p>
          <w:p w14:paraId="6350B056" w14:textId="77777777" w:rsidR="00C0008D" w:rsidRPr="009B0355" w:rsidRDefault="00C0008D" w:rsidP="00445372">
            <w:pPr>
              <w:spacing w:after="160" w:line="276" w:lineRule="auto"/>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Jaunā redakcija:</w:t>
            </w:r>
            <w:r w:rsidRPr="009B0355">
              <w:rPr>
                <w:rFonts w:ascii="Times New Roman" w:eastAsia="Aptos" w:hAnsi="Times New Roman"/>
                <w:kern w:val="2"/>
                <w14:ligatures w14:val="standardContextual"/>
              </w:rPr>
              <w:br/>
              <w:t>6.2.7. „</w:t>
            </w:r>
            <w:r w:rsidRPr="009B0355">
              <w:rPr>
                <w:rFonts w:ascii="Aptos" w:eastAsia="Aptos" w:hAnsi="Aptos"/>
                <w:kern w:val="2"/>
                <w14:ligatures w14:val="standardContextual"/>
              </w:rPr>
              <w:t xml:space="preserve"> </w:t>
            </w:r>
            <w:r w:rsidRPr="009B0355">
              <w:rPr>
                <w:rFonts w:ascii="Times New Roman" w:eastAsia="Aptos" w:hAnsi="Times New Roman"/>
                <w:kern w:val="2"/>
                <w14:ligatures w14:val="standardContextual"/>
              </w:rPr>
              <w:t xml:space="preserve">Audu apstrādes paātrināšanai iekārta izmanto vakuuma un spiediena tehnoloģiju, nodrošinot infiltrācijas vakuumu vismaz –60 </w:t>
            </w:r>
            <w:proofErr w:type="spellStart"/>
            <w:r w:rsidRPr="009B0355">
              <w:rPr>
                <w:rFonts w:ascii="Times New Roman" w:eastAsia="Aptos" w:hAnsi="Times New Roman"/>
                <w:kern w:val="2"/>
                <w14:ligatures w14:val="standardContextual"/>
              </w:rPr>
              <w:t>kPa</w:t>
            </w:r>
            <w:proofErr w:type="spellEnd"/>
            <w:r w:rsidRPr="009B0355">
              <w:rPr>
                <w:rFonts w:ascii="Times New Roman" w:eastAsia="Aptos" w:hAnsi="Times New Roman"/>
                <w:kern w:val="2"/>
                <w14:ligatures w14:val="standardContextual"/>
              </w:rPr>
              <w:t xml:space="preserve"> un infiltrācijas spiedienu vismaz +40 </w:t>
            </w:r>
            <w:proofErr w:type="spellStart"/>
            <w:r w:rsidRPr="009B0355">
              <w:rPr>
                <w:rFonts w:ascii="Times New Roman" w:eastAsia="Aptos" w:hAnsi="Times New Roman"/>
                <w:kern w:val="2"/>
                <w14:ligatures w14:val="standardContextual"/>
              </w:rPr>
              <w:t>kPa</w:t>
            </w:r>
            <w:proofErr w:type="spellEnd"/>
            <w:r w:rsidRPr="009B0355">
              <w:rPr>
                <w:rFonts w:ascii="Times New Roman" w:eastAsia="Aptos" w:hAnsi="Times New Roman"/>
                <w:kern w:val="2"/>
                <w14:ligatures w14:val="standardContextual"/>
              </w:rPr>
              <w:t>, vai ekvivalentu risinājumu.”</w:t>
            </w:r>
          </w:p>
          <w:p w14:paraId="2989B793" w14:textId="77777777" w:rsidR="00C0008D" w:rsidRPr="009B0355" w:rsidRDefault="00C0008D" w:rsidP="00C0008D">
            <w:pPr>
              <w:numPr>
                <w:ilvl w:val="0"/>
                <w:numId w:val="2"/>
              </w:numPr>
              <w:spacing w:after="160" w:line="276" w:lineRule="auto"/>
              <w:contextualSpacing/>
              <w:rPr>
                <w:rFonts w:ascii="Aptos" w:eastAsia="Aptos" w:hAnsi="Aptos"/>
                <w:kern w:val="2"/>
                <w:lang w:val="pl-PL"/>
                <w14:ligatures w14:val="standardContextual"/>
              </w:rPr>
            </w:pPr>
            <w:proofErr w:type="spellStart"/>
            <w:r w:rsidRPr="009B0355">
              <w:rPr>
                <w:rFonts w:ascii="Times New Roman" w:eastAsia="Aptos" w:hAnsi="Times New Roman"/>
                <w:b/>
                <w:bCs/>
                <w:kern w:val="2"/>
                <w:lang w:val="en-US"/>
                <w14:ligatures w14:val="standardContextual"/>
              </w:rPr>
              <w:t>Jaunā</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ierosinātā</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redakcija</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Grozījumi</w:t>
            </w:r>
            <w:proofErr w:type="spellEnd"/>
            <w:r w:rsidRPr="009B0355">
              <w:rPr>
                <w:rFonts w:ascii="Times New Roman" w:eastAsia="Aptos" w:hAnsi="Times New Roman"/>
                <w:b/>
                <w:bCs/>
                <w:kern w:val="2"/>
                <w:lang w:val="en-US"/>
                <w14:ligatures w14:val="standardContextual"/>
              </w:rPr>
              <w:t xml:space="preserve">): </w:t>
            </w:r>
          </w:p>
          <w:p w14:paraId="23543E32" w14:textId="77777777" w:rsidR="00C0008D"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Iekārta ir aprīkota ar integrētu parafīna kausēšanas un infiltrācijas sistēmu ar kopējo vaska ietilpības tilpumu ne mazāku par 3,5 litriem, kas nodrošina pilnīgu paraugu infiltrāciju bez nepieciešamības pēc manuālas vaska pārneses ciklu laikā.</w:t>
            </w:r>
          </w:p>
          <w:p w14:paraId="71E2DC0D"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p>
          <w:p w14:paraId="2720E166" w14:textId="77777777" w:rsidR="00C0008D" w:rsidRPr="009B0355" w:rsidRDefault="00C0008D" w:rsidP="00445372">
            <w:pPr>
              <w:spacing w:line="276" w:lineRule="auto"/>
              <w:jc w:val="both"/>
              <w:rPr>
                <w:rFonts w:ascii="Times New Roman" w:eastAsia="Aptos" w:hAnsi="Times New Roman"/>
                <w:kern w:val="2"/>
                <w14:ligatures w14:val="standardContextual"/>
              </w:rPr>
            </w:pPr>
            <w:r w:rsidRPr="009B0355">
              <w:rPr>
                <w:rFonts w:ascii="Times New Roman" w:eastAsia="Aptos" w:hAnsi="Times New Roman"/>
                <w:b/>
                <w:bCs/>
                <w:i/>
                <w:iCs/>
                <w:kern w:val="2"/>
                <w14:ligatures w14:val="standardContextual"/>
              </w:rPr>
              <w:t>Komisija ir izvērtējusi</w:t>
            </w:r>
            <w:r w:rsidRPr="009B0355">
              <w:rPr>
                <w:rFonts w:ascii="Times New Roman" w:eastAsia="Aptos" w:hAnsi="Times New Roman"/>
                <w:kern w:val="2"/>
                <w14:ligatures w14:val="standardContextual"/>
              </w:rPr>
              <w:t xml:space="preserve"> pretendenta sniegtos komentārus par </w:t>
            </w:r>
            <w:r w:rsidRPr="009B0355">
              <w:rPr>
                <w:rFonts w:ascii="Times New Roman" w:eastAsia="Aptos" w:hAnsi="Times New Roman"/>
                <w:kern w:val="2"/>
                <w:lang w:val="pl-PL"/>
                <w14:ligatures w14:val="standardContextual"/>
              </w:rPr>
              <w:t>parafīna kausēšanas un infiltrācijas sistēmu</w:t>
            </w:r>
            <w:r w:rsidRPr="009B0355">
              <w:rPr>
                <w:rFonts w:ascii="Times New Roman" w:eastAsia="Aptos" w:hAnsi="Times New Roman"/>
                <w:kern w:val="2"/>
                <w14:ligatures w14:val="standardContextual"/>
              </w:rPr>
              <w:t xml:space="preserve"> un, ir nolēmusi veikt grozījumus tehniskās specifikācijas attiecīgajā prasībā.</w:t>
            </w:r>
          </w:p>
          <w:p w14:paraId="3373D781" w14:textId="77777777" w:rsidR="00C0008D" w:rsidRPr="009B0355" w:rsidRDefault="00C0008D" w:rsidP="00445372">
            <w:pPr>
              <w:spacing w:line="276" w:lineRule="auto"/>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Iepriekšējā redakcija:</w:t>
            </w:r>
            <w:r w:rsidRPr="009B0355">
              <w:rPr>
                <w:rFonts w:ascii="Times New Roman" w:eastAsia="Aptos" w:hAnsi="Times New Roman"/>
                <w:kern w:val="2"/>
                <w14:ligatures w14:val="standardContextual"/>
              </w:rPr>
              <w:br/>
              <w:t>6.2.10. „ Katras parafīna vannas tilpums diapazonā no 3,5 līdz 5 litriem.”</w:t>
            </w:r>
          </w:p>
          <w:p w14:paraId="7E1F3458" w14:textId="77777777" w:rsidR="00C0008D" w:rsidRPr="009B0355" w:rsidRDefault="00C0008D" w:rsidP="00445372">
            <w:pPr>
              <w:spacing w:after="160" w:line="276" w:lineRule="auto"/>
              <w:rPr>
                <w:rFonts w:ascii="Times New Roman" w:eastAsia="Aptos" w:hAnsi="Times New Roman"/>
                <w:kern w:val="2"/>
                <w14:ligatures w14:val="standardContextual"/>
              </w:rPr>
            </w:pPr>
            <w:r w:rsidRPr="009B0355">
              <w:rPr>
                <w:rFonts w:ascii="Times New Roman" w:eastAsia="Aptos" w:hAnsi="Times New Roman"/>
                <w:b/>
                <w:bCs/>
                <w:kern w:val="2"/>
                <w14:ligatures w14:val="standardContextual"/>
              </w:rPr>
              <w:t>Jaunā redakcija:</w:t>
            </w:r>
            <w:r w:rsidRPr="009B0355">
              <w:rPr>
                <w:rFonts w:ascii="Times New Roman" w:eastAsia="Aptos" w:hAnsi="Times New Roman"/>
                <w:kern w:val="2"/>
                <w14:ligatures w14:val="standardContextual"/>
              </w:rPr>
              <w:br/>
            </w:r>
            <w:r w:rsidRPr="009B0355">
              <w:rPr>
                <w:rFonts w:ascii="Times New Roman" w:eastAsia="Aptos" w:hAnsi="Times New Roman"/>
                <w:kern w:val="2"/>
                <w:lang w:val="pl-PL"/>
                <w14:ligatures w14:val="standardContextual"/>
              </w:rPr>
              <w:t>6.2.10. "Iekārta nodrošina parafīna kausēšanu un audu infiltrāciju ar izkausētu parafīnu."</w:t>
            </w:r>
          </w:p>
          <w:p w14:paraId="0E2814EC" w14:textId="77777777" w:rsidR="00C0008D" w:rsidRPr="009B0355" w:rsidRDefault="00C0008D" w:rsidP="00C0008D">
            <w:pPr>
              <w:numPr>
                <w:ilvl w:val="0"/>
                <w:numId w:val="2"/>
              </w:numPr>
              <w:spacing w:after="160" w:line="276" w:lineRule="auto"/>
              <w:contextualSpacing/>
              <w:rPr>
                <w:rFonts w:ascii="Aptos" w:eastAsia="Aptos" w:hAnsi="Aptos"/>
                <w:kern w:val="2"/>
                <w:lang w:val="pl-PL"/>
                <w14:ligatures w14:val="standardContextual"/>
              </w:rPr>
            </w:pPr>
            <w:proofErr w:type="spellStart"/>
            <w:r w:rsidRPr="009B0355">
              <w:rPr>
                <w:rFonts w:ascii="Times New Roman" w:eastAsia="Aptos" w:hAnsi="Times New Roman"/>
                <w:b/>
                <w:bCs/>
                <w:kern w:val="2"/>
                <w:lang w:val="en-US"/>
                <w14:ligatures w14:val="standardContextual"/>
              </w:rPr>
              <w:t>Jaunā</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ierosinātā</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redakcija</w:t>
            </w:r>
            <w:proofErr w:type="spellEnd"/>
            <w:r w:rsidRPr="009B0355">
              <w:rPr>
                <w:rFonts w:ascii="Times New Roman" w:eastAsia="Aptos" w:hAnsi="Times New Roman"/>
                <w:b/>
                <w:bCs/>
                <w:kern w:val="2"/>
                <w:lang w:val="en-US"/>
                <w14:ligatures w14:val="standardContextual"/>
              </w:rPr>
              <w:t xml:space="preserve"> (</w:t>
            </w:r>
            <w:proofErr w:type="spellStart"/>
            <w:r w:rsidRPr="009B0355">
              <w:rPr>
                <w:rFonts w:ascii="Times New Roman" w:eastAsia="Aptos" w:hAnsi="Times New Roman"/>
                <w:b/>
                <w:bCs/>
                <w:kern w:val="2"/>
                <w:lang w:val="en-US"/>
                <w14:ligatures w14:val="standardContextual"/>
              </w:rPr>
              <w:t>Grozījumi</w:t>
            </w:r>
            <w:proofErr w:type="spellEnd"/>
            <w:r w:rsidRPr="009B0355">
              <w:rPr>
                <w:rFonts w:ascii="Times New Roman" w:eastAsia="Aptos" w:hAnsi="Times New Roman"/>
                <w:b/>
                <w:bCs/>
                <w:kern w:val="2"/>
                <w:lang w:val="en-US"/>
                <w14:ligatures w14:val="standardContextual"/>
              </w:rPr>
              <w:t xml:space="preserve">): </w:t>
            </w:r>
          </w:p>
          <w:p w14:paraId="32B76C70" w14:textId="77777777" w:rsidR="00C0008D" w:rsidRPr="009B0355" w:rsidRDefault="00C0008D" w:rsidP="00445372">
            <w:pPr>
              <w:spacing w:after="160" w:line="276" w:lineRule="auto"/>
              <w:jc w:val="both"/>
              <w:rPr>
                <w:rFonts w:ascii="Times New Roman" w:eastAsia="Aptos" w:hAnsi="Times New Roman"/>
                <w:kern w:val="2"/>
                <w:lang w:val="pl-PL"/>
                <w14:ligatures w14:val="standardContextual"/>
              </w:rPr>
            </w:pPr>
            <w:r w:rsidRPr="009B0355">
              <w:rPr>
                <w:rFonts w:ascii="Times New Roman" w:eastAsia="Aptos" w:hAnsi="Times New Roman"/>
                <w:kern w:val="2"/>
                <w:lang w:val="pl-PL"/>
                <w14:ligatures w14:val="standardContextual"/>
              </w:rPr>
              <w:t>Reaģentu sistēma ir savietojama ar oriģinālajiem reaģentu traukiem vai standarta rūpnieciskajiem konteineriem/kanistrām tilpumā no 3,5 līdz 5 litriem, nodrošinot tiešu reaģentu nomaiņu bez šķidrumu pārliešanas.</w:t>
            </w:r>
          </w:p>
          <w:p w14:paraId="41C7E233" w14:textId="77777777" w:rsidR="00C0008D" w:rsidRPr="009B0355" w:rsidRDefault="00C0008D" w:rsidP="00445372">
            <w:pPr>
              <w:spacing w:line="276" w:lineRule="auto"/>
              <w:jc w:val="both"/>
              <w:rPr>
                <w:rFonts w:ascii="Aptos" w:eastAsia="Aptos" w:hAnsi="Aptos"/>
                <w:kern w:val="2"/>
                <w14:ligatures w14:val="standardContextual"/>
              </w:rPr>
            </w:pPr>
          </w:p>
          <w:p w14:paraId="2C3D8C61" w14:textId="77777777" w:rsidR="00C0008D" w:rsidRPr="009B0355" w:rsidRDefault="00C0008D" w:rsidP="00445372">
            <w:pPr>
              <w:spacing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Komisija norāda, ka pretendenta piedāvātais risinājums paredz konkrēta ražotāja reaģentu un ar attiecīgo sistēmu saistītu, noteiktas konstrukcijas maināmo reaģentu trauku izmantošanu. Šāds risinājums var radīt slēgta tipa reaģentu sistēmu un būtiski ierobežot Pasūtītāja iespējas izvēlēties un iegādāties reaģentus no dažādiem piegādātājiem.</w:t>
            </w:r>
          </w:p>
          <w:p w14:paraId="503F3483" w14:textId="77777777" w:rsidR="00C0008D" w:rsidRPr="009B0355" w:rsidRDefault="00C0008D" w:rsidP="00445372">
            <w:pPr>
              <w:spacing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 xml:space="preserve">Komisija, izvērtējot laboratorijas faktiskās vajadzības un pamatojoties uz laboratorijas eksperta viedokli, uzskata, ka atvērtas tipa reaģentu sistēma nodrošina lielāku elastību reaģentu izvēlē, ļauj </w:t>
            </w:r>
            <w:r w:rsidRPr="009B0355">
              <w:rPr>
                <w:rFonts w:ascii="Times New Roman" w:eastAsia="Aptos" w:hAnsi="Times New Roman"/>
                <w:kern w:val="2"/>
                <w14:ligatures w14:val="standardContextual"/>
              </w:rPr>
              <w:lastRenderedPageBreak/>
              <w:t>pielāgot reaģentus laboratorijas vajadzībām, kā arī izstrādāt un validēt jaunus audu apstrādes protokolus.</w:t>
            </w:r>
          </w:p>
          <w:p w14:paraId="23CE662D" w14:textId="77777777" w:rsidR="00C0008D" w:rsidRPr="009B0355" w:rsidRDefault="00C0008D" w:rsidP="00445372">
            <w:pPr>
              <w:spacing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Būtiski ir nodrošināt arī laboratorijas darba nepārtrauktību. Atkarība no viena konkrēta ražotāja vai piegādātāja var radīt reaģentu piegādes riskus un tādējādi ietekmēt laboratorijas darba nepārtrauktību. Vienlaikus laboratorijā jau ir izstrādāti un akreditēti audu apstrādes protokoli, kuros tiek izmantoti konkrēti reaģenti, kuru turpmāka izmantošana ir būtiska laboratorijas darba nodrošināšanai.</w:t>
            </w:r>
          </w:p>
          <w:p w14:paraId="403284FE" w14:textId="77777777" w:rsidR="00C0008D" w:rsidRPr="009B0355" w:rsidRDefault="00C0008D" w:rsidP="00445372">
            <w:pPr>
              <w:spacing w:after="160" w:line="276" w:lineRule="auto"/>
              <w:jc w:val="both"/>
              <w:rPr>
                <w:rFonts w:ascii="Times New Roman" w:eastAsia="Aptos" w:hAnsi="Times New Roman"/>
                <w:kern w:val="2"/>
                <w14:ligatures w14:val="standardContextual"/>
              </w:rPr>
            </w:pPr>
            <w:r w:rsidRPr="009B0355">
              <w:rPr>
                <w:rFonts w:ascii="Times New Roman" w:eastAsia="Aptos" w:hAnsi="Times New Roman"/>
                <w:kern w:val="2"/>
                <w14:ligatures w14:val="standardContextual"/>
              </w:rPr>
              <w:t>Ņemot vērā minēto, Komisija, pamatojoties uz laboratorijas eksperta viedokli un izvērtējot laboratorijas faktiskās vajadzības, darba nepārtrauktības un konkurences nodrošināšanas aspektus, pretendenta priekšlikumu neņem vērā un tehniskās specifikācijas attiecīgo prasību nemaina.</w:t>
            </w:r>
          </w:p>
          <w:p w14:paraId="6D24EA66" w14:textId="77777777" w:rsidR="00C0008D" w:rsidRDefault="00C0008D" w:rsidP="00445372">
            <w:pPr>
              <w:jc w:val="both"/>
              <w:rPr>
                <w:rFonts w:ascii="Times New Roman" w:hAnsi="Times New Roman"/>
                <w:sz w:val="23"/>
                <w:szCs w:val="23"/>
              </w:rPr>
            </w:pPr>
          </w:p>
        </w:tc>
      </w:tr>
      <w:tr w:rsidR="00C0008D" w14:paraId="36821BAC" w14:textId="77777777" w:rsidTr="00445372">
        <w:tc>
          <w:tcPr>
            <w:tcW w:w="9344" w:type="dxa"/>
          </w:tcPr>
          <w:p w14:paraId="2D8130DD" w14:textId="77777777" w:rsidR="00C0008D" w:rsidRDefault="00C0008D" w:rsidP="00445372">
            <w:pPr>
              <w:jc w:val="both"/>
              <w:rPr>
                <w:rFonts w:ascii="Times New Roman" w:eastAsia="Aptos" w:hAnsi="Times New Roman"/>
                <w:kern w:val="2"/>
                <w14:ligatures w14:val="standardContextual"/>
              </w:rPr>
            </w:pPr>
          </w:p>
          <w:p w14:paraId="503C5B29" w14:textId="77777777" w:rsidR="00C0008D" w:rsidRPr="00D52FC8" w:rsidRDefault="00C0008D" w:rsidP="00445372">
            <w:pPr>
              <w:jc w:val="both"/>
              <w:rPr>
                <w:rFonts w:ascii="Times New Roman" w:eastAsia="Aptos" w:hAnsi="Times New Roman"/>
                <w:b/>
                <w:bCs/>
                <w:kern w:val="2"/>
                <w14:ligatures w14:val="standardContextual"/>
              </w:rPr>
            </w:pPr>
            <w:r w:rsidRPr="00D52FC8">
              <w:rPr>
                <w:rFonts w:ascii="Times New Roman" w:eastAsia="Aptos" w:hAnsi="Times New Roman"/>
                <w:b/>
                <w:bCs/>
                <w:kern w:val="2"/>
                <w14:ligatures w14:val="standardContextual"/>
              </w:rPr>
              <w:t>7.pozīcija - Ātrās sasaldēšanas iekārta audu griezumu sagatavošanai</w:t>
            </w:r>
          </w:p>
        </w:tc>
      </w:tr>
      <w:tr w:rsidR="00C0008D" w14:paraId="763800C9" w14:textId="77777777" w:rsidTr="00445372">
        <w:tc>
          <w:tcPr>
            <w:tcW w:w="9344" w:type="dxa"/>
          </w:tcPr>
          <w:p w14:paraId="386C5EEA"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Gatavojot piedāvājumu augstāk minētajam publiskajam iepirkumam, esam iepazinušies ar nolikuma pielikumā ietverto tehnisko specifikāciju. Vēlamies vērst iepirkuma komisijas uzmanību uz to, ka atsevišķi tehniskie parametri nepamatoti ierobežo brīvu konkurenci un izslēdz progresīvu, modernu medicīnas tehnoloģiju līdzdalību, kas ir pretrunā ar Publisko iepirkumu likuma atklātības un vienlīdzīgas attieksmes principiem.</w:t>
            </w:r>
          </w:p>
          <w:p w14:paraId="30821126"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Lūdzam komisiju izvērtēt un veikt grozījumus šādos Tehniskās specifikācijas punktos:</w:t>
            </w:r>
          </w:p>
          <w:p w14:paraId="08D8A5FE"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1. Par prasību: „Temperatūras diapazons vismaz -24 °C - (-60) °C”</w:t>
            </w:r>
          </w:p>
          <w:p w14:paraId="7A64A3D0" w14:textId="77777777" w:rsidR="00C0008D"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w:t>
            </w:r>
            <w:r w:rsidRPr="00D52FC8">
              <w:rPr>
                <w:rFonts w:ascii="Times New Roman" w:eastAsia="Aptos" w:hAnsi="Times New Roman"/>
                <w:kern w:val="2"/>
                <w14:ligatures w14:val="standardContextual"/>
              </w:rPr>
              <w:tab/>
              <w:t xml:space="preserve">Esošā situācija: Tirgū pieejamās </w:t>
            </w:r>
            <w:proofErr w:type="spellStart"/>
            <w:r w:rsidRPr="00D52FC8">
              <w:rPr>
                <w:rFonts w:ascii="Times New Roman" w:eastAsia="Aptos" w:hAnsi="Times New Roman"/>
                <w:kern w:val="2"/>
                <w14:ligatures w14:val="standardContextual"/>
              </w:rPr>
              <w:t>ultra</w:t>
            </w:r>
            <w:proofErr w:type="spellEnd"/>
            <w:r w:rsidRPr="00D52FC8">
              <w:rPr>
                <w:rFonts w:ascii="Times New Roman" w:eastAsia="Aptos" w:hAnsi="Times New Roman"/>
                <w:kern w:val="2"/>
                <w14:ligatures w14:val="standardContextual"/>
              </w:rPr>
              <w:t>-ātrās sasaldēšanas iekārtas izmanto atšķirīgus tehnoloģiskos risinājumus. Prasība nodrošināt dzesēšanu tieši līdz -60 °C norāda uz viena konkrēta ražotāja kompresora tipa modeli, taču tā nav vienīgā vai efektīvākā metode bioloģisko audu ātrai fiksācijai.</w:t>
            </w:r>
          </w:p>
          <w:p w14:paraId="01ED58A7"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w:t>
            </w:r>
            <w:r w:rsidRPr="00D52FC8">
              <w:rPr>
                <w:rFonts w:ascii="Times New Roman" w:eastAsia="Aptos" w:hAnsi="Times New Roman"/>
                <w:kern w:val="2"/>
                <w14:ligatures w14:val="standardContextual"/>
              </w:rPr>
              <w:tab/>
              <w:t xml:space="preserve">Pamatojums: Pasaulē vadošie ražotāji histoloģijas jomā </w:t>
            </w:r>
            <w:proofErr w:type="spellStart"/>
            <w:r w:rsidRPr="00D52FC8">
              <w:rPr>
                <w:rFonts w:ascii="Times New Roman" w:eastAsia="Aptos" w:hAnsi="Times New Roman"/>
                <w:kern w:val="2"/>
                <w14:ligatures w14:val="standardContextual"/>
              </w:rPr>
              <w:t>ultra</w:t>
            </w:r>
            <w:proofErr w:type="spellEnd"/>
            <w:r w:rsidRPr="00D52FC8">
              <w:rPr>
                <w:rFonts w:ascii="Times New Roman" w:eastAsia="Aptos" w:hAnsi="Times New Roman"/>
                <w:kern w:val="2"/>
                <w14:ligatures w14:val="standardContextual"/>
              </w:rPr>
              <w:t xml:space="preserve">-ātrai </w:t>
            </w:r>
            <w:proofErr w:type="spellStart"/>
            <w:r w:rsidRPr="00D52FC8">
              <w:rPr>
                <w:rFonts w:ascii="Times New Roman" w:eastAsia="Aptos" w:hAnsi="Times New Roman"/>
                <w:kern w:val="2"/>
                <w14:ligatures w14:val="standardContextual"/>
              </w:rPr>
              <w:t>kriostata</w:t>
            </w:r>
            <w:proofErr w:type="spellEnd"/>
            <w:r w:rsidRPr="00D52FC8">
              <w:rPr>
                <w:rFonts w:ascii="Times New Roman" w:eastAsia="Aptos" w:hAnsi="Times New Roman"/>
                <w:kern w:val="2"/>
                <w14:ligatures w14:val="standardContextual"/>
              </w:rPr>
              <w:t xml:space="preserve"> paraugu sagatavošanai izmanto patentētus dzesēšanas blokus ar hēlija gāzi (</w:t>
            </w:r>
            <w:proofErr w:type="spellStart"/>
            <w:r w:rsidRPr="00D52FC8">
              <w:rPr>
                <w:rFonts w:ascii="Times New Roman" w:eastAsia="Aptos" w:hAnsi="Times New Roman"/>
                <w:kern w:val="2"/>
                <w14:ligatures w14:val="standardContextual"/>
              </w:rPr>
              <w:t>Stirling</w:t>
            </w:r>
            <w:proofErr w:type="spellEnd"/>
            <w:r w:rsidRPr="00D52FC8">
              <w:rPr>
                <w:rFonts w:ascii="Times New Roman" w:eastAsia="Aptos" w:hAnsi="Times New Roman"/>
                <w:kern w:val="2"/>
                <w14:ligatures w14:val="standardContextual"/>
              </w:rPr>
              <w:t xml:space="preserve"> </w:t>
            </w:r>
            <w:proofErr w:type="spellStart"/>
            <w:r w:rsidRPr="00D52FC8">
              <w:rPr>
                <w:rFonts w:ascii="Times New Roman" w:eastAsia="Aptos" w:hAnsi="Times New Roman"/>
                <w:kern w:val="2"/>
                <w14:ligatures w14:val="standardContextual"/>
              </w:rPr>
              <w:t>chiller</w:t>
            </w:r>
            <w:proofErr w:type="spellEnd"/>
            <w:r w:rsidRPr="00D52FC8">
              <w:rPr>
                <w:rFonts w:ascii="Times New Roman" w:eastAsia="Aptos" w:hAnsi="Times New Roman"/>
                <w:kern w:val="2"/>
                <w14:ligatures w14:val="standardContextual"/>
              </w:rPr>
              <w:t xml:space="preserve"> tehnoloģija). Šī sistēma nodrošina pastāvīgu, standartizētu -40 °C darba vidi kombinācijā ar tiešo metāla kontaktu paraugam (</w:t>
            </w:r>
            <w:proofErr w:type="spellStart"/>
            <w:r w:rsidRPr="00D52FC8">
              <w:rPr>
                <w:rFonts w:ascii="Times New Roman" w:eastAsia="Aptos" w:hAnsi="Times New Roman"/>
                <w:kern w:val="2"/>
                <w14:ligatures w14:val="standardContextual"/>
              </w:rPr>
              <w:t>Face-Down</w:t>
            </w:r>
            <w:proofErr w:type="spellEnd"/>
            <w:r w:rsidRPr="00D52FC8">
              <w:rPr>
                <w:rFonts w:ascii="Times New Roman" w:eastAsia="Aptos" w:hAnsi="Times New Roman"/>
                <w:kern w:val="2"/>
                <w14:ligatures w14:val="standardContextual"/>
              </w:rPr>
              <w:t xml:space="preserve"> </w:t>
            </w:r>
            <w:proofErr w:type="spellStart"/>
            <w:r w:rsidRPr="00D52FC8">
              <w:rPr>
                <w:rFonts w:ascii="Times New Roman" w:eastAsia="Aptos" w:hAnsi="Times New Roman"/>
                <w:kern w:val="2"/>
                <w14:ligatures w14:val="standardContextual"/>
              </w:rPr>
              <w:t>Embedding</w:t>
            </w:r>
            <w:proofErr w:type="spellEnd"/>
            <w:r w:rsidRPr="00D52FC8">
              <w:rPr>
                <w:rFonts w:ascii="Times New Roman" w:eastAsia="Aptos" w:hAnsi="Times New Roman"/>
                <w:kern w:val="2"/>
                <w14:ligatures w14:val="standardContextual"/>
              </w:rPr>
              <w:t xml:space="preserve"> tehnoloģiju). Šāds risinājums sasaldē pat visgrūtāk apstrādājamos taukainos audus un krūts dziedzeru paraugus 30 līdz 60 sekunžu laikā, pilnībā novēršot ledus kristālu artefaktu veidošanos šūnās. Līdz ar to dzesēšana līdz -60 °C nav kritisks tehnoloģiskais priekšnoteikums kvalitatīvam rezultātam, bet gan specifiska konstruktīva nianse.</w:t>
            </w:r>
          </w:p>
          <w:p w14:paraId="096EBC56" w14:textId="77777777" w:rsidR="00C0008D"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w:t>
            </w:r>
            <w:r w:rsidRPr="00D52FC8">
              <w:rPr>
                <w:rFonts w:ascii="Times New Roman" w:eastAsia="Aptos" w:hAnsi="Times New Roman"/>
                <w:kern w:val="2"/>
                <w14:ligatures w14:val="standardContextual"/>
              </w:rPr>
              <w:tab/>
              <w:t>Lūgums komisijai: Izteikt prasību jaunā redakcijā, nodrošinot, ka iekārta garantē audu pilnīgu sasaldēšanu laika posmā līdz 60 sekundēm, darba temperatūrai sasniedzot vismaz -40 °C vai zemāk.</w:t>
            </w:r>
          </w:p>
          <w:p w14:paraId="783BF586" w14:textId="77777777" w:rsidR="00C0008D" w:rsidRPr="00D52FC8" w:rsidRDefault="00C0008D" w:rsidP="00445372">
            <w:pPr>
              <w:spacing w:line="276" w:lineRule="auto"/>
              <w:jc w:val="both"/>
              <w:rPr>
                <w:rFonts w:ascii="Times New Roman" w:eastAsia="Aptos" w:hAnsi="Times New Roman"/>
                <w:b/>
                <w:bCs/>
                <w:kern w:val="2"/>
                <w14:ligatures w14:val="standardContextual"/>
              </w:rPr>
            </w:pPr>
            <w:r w:rsidRPr="00D52FC8">
              <w:rPr>
                <w:rFonts w:ascii="Times New Roman" w:eastAsia="Aptos" w:hAnsi="Times New Roman"/>
                <w:b/>
                <w:bCs/>
                <w:kern w:val="2"/>
                <w14:ligatures w14:val="standardContextual"/>
              </w:rPr>
              <w:t xml:space="preserve">Komisijas atbilde: </w:t>
            </w:r>
          </w:p>
          <w:p w14:paraId="2F47150D"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Komisija ir izvērtējusi pretendenta sniegto argumentāciju un nolēmusi precizēt tehniskās specifikācijas prasību.</w:t>
            </w:r>
          </w:p>
          <w:p w14:paraId="54FF5655"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Iepriekšējā redakcija:</w:t>
            </w:r>
          </w:p>
          <w:p w14:paraId="629FE713"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7.2.1. „ Temperatūras diapazons vismaz -24 °C - (-60) °C.”</w:t>
            </w:r>
          </w:p>
          <w:p w14:paraId="2B70A8D5"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Jaunā redakcija:</w:t>
            </w:r>
          </w:p>
          <w:p w14:paraId="1C09C08F"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7.2.1. „ Temperatūras diapazons vismaz -24 °C - (-40) °C.”</w:t>
            </w:r>
          </w:p>
          <w:p w14:paraId="3D2CE4DF" w14:textId="77777777" w:rsidR="00C0008D" w:rsidRPr="00D52FC8" w:rsidRDefault="00C0008D" w:rsidP="00445372">
            <w:pPr>
              <w:spacing w:line="276" w:lineRule="auto"/>
              <w:jc w:val="both"/>
              <w:rPr>
                <w:rFonts w:ascii="Times New Roman" w:eastAsia="Aptos" w:hAnsi="Times New Roman"/>
                <w:kern w:val="2"/>
                <w14:ligatures w14:val="standardContextual"/>
              </w:rPr>
            </w:pPr>
          </w:p>
          <w:p w14:paraId="7E551E51"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2. Par prasību: „Saldēšanas laiks nepārsniedz 60 sekundes” un paraugu sagatavošanas apjomu</w:t>
            </w:r>
          </w:p>
          <w:p w14:paraId="22790B6E"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w:t>
            </w:r>
            <w:r w:rsidRPr="00D52FC8">
              <w:rPr>
                <w:rFonts w:ascii="Times New Roman" w:eastAsia="Aptos" w:hAnsi="Times New Roman"/>
                <w:kern w:val="2"/>
                <w14:ligatures w14:val="standardContextual"/>
              </w:rPr>
              <w:tab/>
              <w:t>Skaidrojuma pieprasījums: Lūdzam precizēt, vai prasība par komplektācijā iekļautajām „noņemamām alumīnija veidnēm (vismaz 6 gab.)” nozīmē, ka iepirkuma rīkotājam ir būtiski nodrošināt iespēju vienlaicīgi (paralēli) sasaldēt līdz pat 6 dažādiem bioloģiskajiem paraugiem šajā laika logā?</w:t>
            </w:r>
          </w:p>
          <w:p w14:paraId="18B83422"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w:t>
            </w:r>
            <w:r w:rsidRPr="00D52FC8">
              <w:rPr>
                <w:rFonts w:ascii="Times New Roman" w:eastAsia="Aptos" w:hAnsi="Times New Roman"/>
                <w:kern w:val="2"/>
                <w14:ligatures w14:val="standardContextual"/>
              </w:rPr>
              <w:tab/>
              <w:t xml:space="preserve">Papildinājums: ir sistēmas , kas spēj nodrošināt neatkarīgu un paralēlu 6 paraugu vienlaicīgu sasaldēšanu 60 sekundēs, kas būtiski paaugstina laboratorijas caurlaides spēju, salīdzinot ar standarta </w:t>
            </w:r>
            <w:proofErr w:type="spellStart"/>
            <w:r w:rsidRPr="00D52FC8">
              <w:rPr>
                <w:rFonts w:ascii="Times New Roman" w:eastAsia="Aptos" w:hAnsi="Times New Roman"/>
                <w:kern w:val="2"/>
                <w14:ligatures w14:val="standardContextual"/>
              </w:rPr>
              <w:t>kriostatu</w:t>
            </w:r>
            <w:proofErr w:type="spellEnd"/>
            <w:r w:rsidRPr="00D52FC8">
              <w:rPr>
                <w:rFonts w:ascii="Times New Roman" w:eastAsia="Aptos" w:hAnsi="Times New Roman"/>
                <w:kern w:val="2"/>
                <w14:ligatures w14:val="standardContextual"/>
              </w:rPr>
              <w:t xml:space="preserve"> ātrās saldēšanas elementiem. Lūdzam apstiprināt, ka šāda augstāka funkcionalitāte pilnībā atbilst iepirkuma mērķim.</w:t>
            </w:r>
          </w:p>
          <w:p w14:paraId="6DB4C687"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Kopsavilkums un ierosinātā Tehniskās specifikācijas punktu redakcija:</w:t>
            </w:r>
          </w:p>
          <w:p w14:paraId="4B312280"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lastRenderedPageBreak/>
              <w:t>Lai veicinātu pretendentu konkurenci un ļautu pasūtītājam saņemt saimnieciski visizdevīgāko piedāvājumu ar jaunākās paaudzes tehnoloģijām, ierosinām izteikt parametrus šādi:</w:t>
            </w:r>
          </w:p>
          <w:p w14:paraId="37057346"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w:t>
            </w:r>
            <w:r w:rsidRPr="00D52FC8">
              <w:rPr>
                <w:rFonts w:ascii="Times New Roman" w:eastAsia="Aptos" w:hAnsi="Times New Roman"/>
                <w:kern w:val="2"/>
                <w14:ligatures w14:val="standardContextual"/>
              </w:rPr>
              <w:tab/>
              <w:t>„Temperatūras darba diapazons vai fiksētā darba temperatūra nodrošina stabilu vidi diapazonā no -24 °C līdz vismaz -40 °C vai zemāk.”</w:t>
            </w:r>
          </w:p>
          <w:p w14:paraId="6724180C"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w:t>
            </w:r>
            <w:r w:rsidRPr="00D52FC8">
              <w:rPr>
                <w:rFonts w:ascii="Times New Roman" w:eastAsia="Aptos" w:hAnsi="Times New Roman"/>
                <w:kern w:val="2"/>
                <w14:ligatures w14:val="standardContextual"/>
              </w:rPr>
              <w:tab/>
              <w:t>„Sasaldēšanas laiks līdz pilnīgai audu fiksācijai nepārsniedz 60 sekundes.”</w:t>
            </w:r>
          </w:p>
          <w:p w14:paraId="6EBB7978" w14:textId="77777777" w:rsidR="00C0008D" w:rsidRPr="00D52FC8" w:rsidRDefault="00C0008D" w:rsidP="00445372">
            <w:pPr>
              <w:spacing w:line="276" w:lineRule="auto"/>
              <w:jc w:val="both"/>
              <w:rPr>
                <w:rFonts w:ascii="Times New Roman" w:eastAsia="Aptos" w:hAnsi="Times New Roman"/>
                <w:kern w:val="2"/>
                <w14:ligatures w14:val="standardContextual"/>
              </w:rPr>
            </w:pPr>
          </w:p>
          <w:p w14:paraId="292FED20"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Šādas izmaiņas nepasliktina gala rezultāta kvalitāti, bet nodrošina, ka iepirkumā var kvalificēties nevis viens, bet vairāki pasaules līmeņa medicīnas iekārtu ražotāji.</w:t>
            </w:r>
          </w:p>
          <w:p w14:paraId="2EA8BA45"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Paldies</w:t>
            </w:r>
          </w:p>
          <w:p w14:paraId="19FEB426" w14:textId="77777777" w:rsidR="00C0008D" w:rsidRPr="00D52FC8" w:rsidRDefault="00C0008D" w:rsidP="00445372">
            <w:pPr>
              <w:spacing w:line="276" w:lineRule="auto"/>
              <w:jc w:val="both"/>
              <w:rPr>
                <w:rFonts w:ascii="Times New Roman" w:eastAsia="Aptos" w:hAnsi="Times New Roman"/>
                <w:kern w:val="2"/>
                <w14:ligatures w14:val="standardContextual"/>
              </w:rPr>
            </w:pPr>
          </w:p>
          <w:p w14:paraId="5B51C96E" w14:textId="77777777" w:rsidR="00C0008D" w:rsidRPr="00D52FC8" w:rsidRDefault="00C0008D" w:rsidP="00445372">
            <w:pPr>
              <w:spacing w:line="276" w:lineRule="auto"/>
              <w:jc w:val="both"/>
              <w:rPr>
                <w:rFonts w:ascii="Times New Roman" w:eastAsia="Aptos" w:hAnsi="Times New Roman"/>
                <w:b/>
                <w:bCs/>
                <w:kern w:val="2"/>
                <w14:ligatures w14:val="standardContextual"/>
              </w:rPr>
            </w:pPr>
            <w:r w:rsidRPr="00D52FC8">
              <w:rPr>
                <w:rFonts w:ascii="Times New Roman" w:eastAsia="Aptos" w:hAnsi="Times New Roman"/>
                <w:b/>
                <w:bCs/>
                <w:kern w:val="2"/>
                <w14:ligatures w14:val="standardContextual"/>
              </w:rPr>
              <w:t xml:space="preserve">Komisijas atbilde: </w:t>
            </w:r>
          </w:p>
          <w:p w14:paraId="6BA96091"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Komisija ir izvērtējusi pretendenta sniegto argumentāciju un nolēmusi precizēt tehniskās specifikācijas prasību.</w:t>
            </w:r>
          </w:p>
          <w:p w14:paraId="5BEA922F"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Iepriekšējā redakcija:</w:t>
            </w:r>
          </w:p>
          <w:p w14:paraId="50F70A7C"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7.2.2. „ Sasaldēšanas laiks nepārsniedz 60 sekundes.”</w:t>
            </w:r>
          </w:p>
          <w:p w14:paraId="305A2917" w14:textId="77777777" w:rsidR="00C0008D" w:rsidRPr="00D52FC8"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Jaunā redakcija:</w:t>
            </w:r>
          </w:p>
          <w:p w14:paraId="0DE71C5E" w14:textId="77777777" w:rsidR="00C0008D" w:rsidRDefault="00C0008D" w:rsidP="00445372">
            <w:pPr>
              <w:spacing w:line="276" w:lineRule="auto"/>
              <w:jc w:val="both"/>
              <w:rPr>
                <w:rFonts w:ascii="Times New Roman" w:eastAsia="Aptos" w:hAnsi="Times New Roman"/>
                <w:kern w:val="2"/>
                <w14:ligatures w14:val="standardContextual"/>
              </w:rPr>
            </w:pPr>
            <w:r w:rsidRPr="00D52FC8">
              <w:rPr>
                <w:rFonts w:ascii="Times New Roman" w:eastAsia="Aptos" w:hAnsi="Times New Roman"/>
                <w:kern w:val="2"/>
                <w14:ligatures w14:val="standardContextual"/>
              </w:rPr>
              <w:t>7.2.2. „ Sasaldēšanas laiks līdz pilnīgai audu fiksācijai nepārsniedz 60 sekundes.”</w:t>
            </w:r>
          </w:p>
        </w:tc>
      </w:tr>
    </w:tbl>
    <w:p w14:paraId="7B464218" w14:textId="77777777" w:rsidR="00BB3F47" w:rsidRDefault="00BB3F47"/>
    <w:sectPr w:rsidR="00BB3F4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245"/>
    <w:multiLevelType w:val="hybridMultilevel"/>
    <w:tmpl w:val="72AE1EF4"/>
    <w:lvl w:ilvl="0" w:tplc="070CDB88">
      <w:start w:val="1"/>
      <w:numFmt w:val="decimal"/>
      <w:lvlText w:val="%1)"/>
      <w:lvlJc w:val="left"/>
      <w:pPr>
        <w:ind w:left="720" w:hanging="360"/>
      </w:pPr>
      <w:rPr>
        <w:rFonts w:ascii="Times New Roman" w:hAnsi="Times New Roman" w:cs="Times New Roman"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40DC6DC3"/>
    <w:multiLevelType w:val="multilevel"/>
    <w:tmpl w:val="59F800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169569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01223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08D"/>
    <w:rsid w:val="004667F1"/>
    <w:rsid w:val="00BB3F47"/>
    <w:rsid w:val="00C0008D"/>
    <w:rsid w:val="00D77C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4FE0E"/>
  <w15:chartTrackingRefBased/>
  <w15:docId w15:val="{7688129E-F3CC-43F2-B3BD-F1C0FB7ED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08D"/>
    <w:rPr>
      <w:rFonts w:ascii="Arial" w:eastAsia="Times New Roman" w:hAnsi="Arial"/>
      <w:kern w:val="0"/>
      <w14:ligatures w14:val="none"/>
    </w:rPr>
  </w:style>
  <w:style w:type="paragraph" w:styleId="Heading1">
    <w:name w:val="heading 1"/>
    <w:basedOn w:val="Normal"/>
    <w:next w:val="Normal"/>
    <w:link w:val="Heading1Char"/>
    <w:uiPriority w:val="9"/>
    <w:qFormat/>
    <w:rsid w:val="00C00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08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08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0008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0008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0008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0008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0008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08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08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0008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0008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0008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0008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0008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000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08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08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000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0008D"/>
    <w:rPr>
      <w:i/>
      <w:iCs/>
      <w:color w:val="404040" w:themeColor="text1" w:themeTint="BF"/>
    </w:rPr>
  </w:style>
  <w:style w:type="paragraph" w:styleId="ListParagraph">
    <w:name w:val="List Paragraph"/>
    <w:basedOn w:val="Normal"/>
    <w:uiPriority w:val="34"/>
    <w:qFormat/>
    <w:rsid w:val="00C0008D"/>
    <w:pPr>
      <w:ind w:left="720"/>
      <w:contextualSpacing/>
    </w:pPr>
  </w:style>
  <w:style w:type="character" w:styleId="IntenseEmphasis">
    <w:name w:val="Intense Emphasis"/>
    <w:basedOn w:val="DefaultParagraphFont"/>
    <w:uiPriority w:val="21"/>
    <w:qFormat/>
    <w:rsid w:val="00C0008D"/>
    <w:rPr>
      <w:i/>
      <w:iCs/>
      <w:color w:val="0F4761" w:themeColor="accent1" w:themeShade="BF"/>
    </w:rPr>
  </w:style>
  <w:style w:type="paragraph" w:styleId="IntenseQuote">
    <w:name w:val="Intense Quote"/>
    <w:basedOn w:val="Normal"/>
    <w:next w:val="Normal"/>
    <w:link w:val="IntenseQuoteChar"/>
    <w:uiPriority w:val="30"/>
    <w:qFormat/>
    <w:rsid w:val="00C00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08D"/>
    <w:rPr>
      <w:i/>
      <w:iCs/>
      <w:color w:val="0F4761" w:themeColor="accent1" w:themeShade="BF"/>
    </w:rPr>
  </w:style>
  <w:style w:type="character" w:styleId="IntenseReference">
    <w:name w:val="Intense Reference"/>
    <w:basedOn w:val="DefaultParagraphFont"/>
    <w:uiPriority w:val="32"/>
    <w:qFormat/>
    <w:rsid w:val="00C0008D"/>
    <w:rPr>
      <w:b/>
      <w:bCs/>
      <w:smallCaps/>
      <w:color w:val="0F4761" w:themeColor="accent1" w:themeShade="BF"/>
      <w:spacing w:val="5"/>
    </w:rPr>
  </w:style>
  <w:style w:type="table" w:styleId="TableGrid">
    <w:name w:val="Table Grid"/>
    <w:basedOn w:val="TableNormal"/>
    <w:uiPriority w:val="59"/>
    <w:rsid w:val="00C0008D"/>
    <w:rPr>
      <w:rFonts w:eastAsia="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14236</Words>
  <Characters>8115</Characters>
  <Application>Microsoft Office Word</Application>
  <DocSecurity>0</DocSecurity>
  <Lines>67</Lines>
  <Paragraphs>44</Paragraphs>
  <ScaleCrop>false</ScaleCrop>
  <Company/>
  <LinksUpToDate>false</LinksUpToDate>
  <CharactersWithSpaces>22307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Ārija Vecmane</cp:lastModifiedBy>
  <cp:revision>1</cp:revision>
  <dcterms:created xsi:type="dcterms:W3CDTF">2026-08-13T11:48:00Z</dcterms:created>
  <dcterms:modified xsi:type="dcterms:W3CDTF">2026-08-13T11:49:00Z</dcterms:modified>
</cp:coreProperties>
</file>