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2B77" w:rsidRPr="00395B9F" w:rsidRDefault="00DD4FDF">
      <w:pPr>
        <w:pStyle w:val="Title"/>
        <w:spacing w:before="0" w:after="0"/>
        <w:ind w:left="5103"/>
        <w:jc w:val="left"/>
        <w:rPr>
          <w:rFonts w:ascii="Times New Roman" w:hAnsi="Times New Roman"/>
          <w:b w:val="0"/>
          <w:sz w:val="20"/>
          <w:szCs w:val="20"/>
          <w:lang w:val="en-GB"/>
        </w:rPr>
      </w:pPr>
      <w:r w:rsidRPr="00395B9F">
        <w:rPr>
          <w:rFonts w:ascii="Times New Roman" w:hAnsi="Times New Roman"/>
          <w:b w:val="0"/>
          <w:sz w:val="20"/>
          <w:szCs w:val="20"/>
          <w:lang w:val="en-GB"/>
        </w:rPr>
        <w:t xml:space="preserve">              A P </w:t>
      </w:r>
      <w:proofErr w:type="spellStart"/>
      <w:r w:rsidRPr="00395B9F">
        <w:rPr>
          <w:rFonts w:ascii="Times New Roman" w:hAnsi="Times New Roman"/>
          <w:b w:val="0"/>
          <w:sz w:val="20"/>
          <w:szCs w:val="20"/>
          <w:lang w:val="en-GB"/>
        </w:rPr>
        <w:t>P</w:t>
      </w:r>
      <w:proofErr w:type="spellEnd"/>
      <w:r w:rsidRPr="00395B9F">
        <w:rPr>
          <w:rFonts w:ascii="Times New Roman" w:hAnsi="Times New Roman"/>
          <w:b w:val="0"/>
          <w:sz w:val="20"/>
          <w:szCs w:val="20"/>
          <w:lang w:val="en-GB"/>
        </w:rPr>
        <w:t xml:space="preserve"> R O V E D</w:t>
      </w:r>
    </w:p>
    <w:p w:rsidR="008A2B77" w:rsidRPr="00395B9F" w:rsidRDefault="00DD4FDF">
      <w:pPr>
        <w:ind w:left="5103"/>
        <w:jc w:val="both"/>
        <w:rPr>
          <w:sz w:val="20"/>
          <w:szCs w:val="20"/>
          <w:lang w:val="en-GB"/>
        </w:rPr>
      </w:pPr>
      <w:r w:rsidRPr="00395B9F">
        <w:rPr>
          <w:sz w:val="20"/>
          <w:szCs w:val="20"/>
          <w:lang w:val="en-GB"/>
        </w:rPr>
        <w:t>at the meeting of the Procurement Commission of the Aviation and Special Operations Board of the State Border Guard on 16 July 2026 (Minutes No. _____ of the meeting of 16 July 2026)</w:t>
      </w:r>
    </w:p>
    <w:p w:rsidR="008A2B77" w:rsidRPr="00395B9F" w:rsidRDefault="008A2B77">
      <w:pPr>
        <w:jc w:val="both"/>
        <w:rPr>
          <w:sz w:val="20"/>
          <w:szCs w:val="20"/>
          <w:lang w:val="en-GB"/>
        </w:rPr>
      </w:pPr>
    </w:p>
    <w:p w:rsidR="008A2B77" w:rsidRPr="00395B9F" w:rsidRDefault="00DD4FDF">
      <w:pPr>
        <w:jc w:val="center"/>
        <w:rPr>
          <w:b/>
          <w:sz w:val="28"/>
          <w:lang w:val="en-GB"/>
        </w:rPr>
      </w:pPr>
      <w:r w:rsidRPr="00395B9F">
        <w:rPr>
          <w:b/>
          <w:sz w:val="28"/>
          <w:lang w:val="en-GB"/>
        </w:rPr>
        <w:t>AMENDMENTS</w:t>
      </w:r>
    </w:p>
    <w:p w:rsidR="008A2B77" w:rsidRPr="00395B9F" w:rsidRDefault="00DD4FDF">
      <w:pPr>
        <w:jc w:val="center"/>
        <w:rPr>
          <w:b/>
          <w:sz w:val="28"/>
          <w:szCs w:val="28"/>
          <w:lang w:val="en-GB"/>
        </w:rPr>
      </w:pPr>
      <w:r w:rsidRPr="00395B9F">
        <w:rPr>
          <w:b/>
          <w:sz w:val="28"/>
          <w:szCs w:val="28"/>
          <w:lang w:val="en-GB"/>
        </w:rPr>
        <w:t>TO THE REGULATIONS FOR CANDIDATE SELECTION IN THE</w:t>
      </w:r>
    </w:p>
    <w:p w:rsidR="008A2B77" w:rsidRPr="00395B9F" w:rsidRDefault="00DD4FDF">
      <w:pPr>
        <w:jc w:val="center"/>
        <w:rPr>
          <w:b/>
          <w:lang w:val="en-GB" w:eastAsia="en-GB"/>
        </w:rPr>
      </w:pPr>
      <w:r w:rsidRPr="00395B9F">
        <w:rPr>
          <w:lang w:val="en-GB"/>
        </w:rPr>
        <w:t>COMPETITIVE PROCEDURE WITH NEGOTIATION</w:t>
      </w:r>
    </w:p>
    <w:p w:rsidR="00395B9F" w:rsidRPr="00395B9F" w:rsidRDefault="00395B9F" w:rsidP="00395B9F">
      <w:pPr>
        <w:jc w:val="center"/>
        <w:rPr>
          <w:b/>
          <w:szCs w:val="20"/>
          <w:lang w:val="en-GB"/>
        </w:rPr>
      </w:pPr>
      <w:r w:rsidRPr="00395B9F">
        <w:rPr>
          <w:b/>
          <w:szCs w:val="20"/>
          <w:lang w:val="en-GB"/>
        </w:rPr>
        <w:t xml:space="preserve">“Modernization of two </w:t>
      </w:r>
      <w:proofErr w:type="spellStart"/>
      <w:r w:rsidRPr="00395B9F">
        <w:rPr>
          <w:b/>
          <w:szCs w:val="20"/>
          <w:lang w:val="en-GB"/>
        </w:rPr>
        <w:t>Agusta</w:t>
      </w:r>
      <w:proofErr w:type="spellEnd"/>
      <w:r w:rsidRPr="00395B9F">
        <w:rPr>
          <w:b/>
          <w:szCs w:val="20"/>
          <w:lang w:val="en-GB"/>
        </w:rPr>
        <w:t xml:space="preserve"> 109E Power helicopter electro-optical equipment internal and external modernisation (4 years)” </w:t>
      </w:r>
    </w:p>
    <w:p w:rsidR="008A2B77" w:rsidRPr="00395B9F" w:rsidRDefault="00DD4FDF">
      <w:pPr>
        <w:jc w:val="center"/>
        <w:rPr>
          <w:b/>
          <w:caps/>
          <w:shadow/>
          <w:szCs w:val="28"/>
          <w:lang w:val="en-GB"/>
        </w:rPr>
      </w:pPr>
      <w:r w:rsidRPr="00395B9F">
        <w:rPr>
          <w:b/>
          <w:shadow/>
          <w:szCs w:val="28"/>
          <w:lang w:val="en-GB"/>
        </w:rPr>
        <w:t>Procurement Identification No. VRS 2026/15-01-ASOP</w:t>
      </w:r>
    </w:p>
    <w:p w:rsidR="008A2B77" w:rsidRPr="00395B9F" w:rsidRDefault="008A2B77">
      <w:pPr>
        <w:jc w:val="center"/>
        <w:rPr>
          <w:b/>
          <w:sz w:val="28"/>
          <w:szCs w:val="28"/>
          <w:lang w:val="en-GB"/>
        </w:rPr>
      </w:pPr>
    </w:p>
    <w:p w:rsidR="008A2B77" w:rsidRPr="00395B9F" w:rsidRDefault="008A2B77">
      <w:pPr>
        <w:rPr>
          <w:b/>
          <w:sz w:val="28"/>
          <w:szCs w:val="28"/>
          <w:lang w:val="en-GB"/>
        </w:rPr>
      </w:pPr>
    </w:p>
    <w:p w:rsidR="008A2B77" w:rsidRPr="00395B9F" w:rsidRDefault="00395B9F">
      <w:pPr>
        <w:ind w:left="9" w:firstLine="2"/>
        <w:jc w:val="both"/>
        <w:rPr>
          <w:lang w:val="en-GB"/>
        </w:rPr>
      </w:pPr>
      <w:r>
        <w:rPr>
          <w:lang w:val="en-GB"/>
        </w:rPr>
        <w:tab/>
      </w:r>
      <w:r w:rsidR="00DD4FDF" w:rsidRPr="00395B9F">
        <w:rPr>
          <w:lang w:val="en-GB"/>
        </w:rPr>
        <w:t xml:space="preserve">The following amendments shall be made to the Regulations for Candidate Selection in the competitive procedure with negotiation “Modernisation of the Internal and External Installation of Electro-Optical Equipment on Two </w:t>
      </w:r>
      <w:proofErr w:type="spellStart"/>
      <w:r w:rsidR="00DD4FDF" w:rsidRPr="00395B9F">
        <w:rPr>
          <w:lang w:val="en-GB"/>
        </w:rPr>
        <w:t>Agusta</w:t>
      </w:r>
      <w:proofErr w:type="spellEnd"/>
      <w:r w:rsidR="00DD4FDF" w:rsidRPr="00395B9F">
        <w:rPr>
          <w:lang w:val="en-GB"/>
        </w:rPr>
        <w:t xml:space="preserve"> 109E Power Helicopters (4 years)”, Procurement Identification No. VRS 2026/15-01-ASOP (approved at the meeting of the Procurement Commission of the Aviation and Special Operations Board of the State Border Guard on 1</w:t>
      </w:r>
      <w:r>
        <w:rPr>
          <w:lang w:val="en-GB"/>
        </w:rPr>
        <w:t>6</w:t>
      </w:r>
      <w:r w:rsidR="00DD4FDF" w:rsidRPr="00395B9F">
        <w:rPr>
          <w:lang w:val="en-GB"/>
        </w:rPr>
        <w:t xml:space="preserve"> July 2026 by Minutes No. 12</w:t>
      </w:r>
      <w:r>
        <w:rPr>
          <w:lang w:val="en-GB"/>
        </w:rPr>
        <w:t>3</w:t>
      </w:r>
      <w:r w:rsidR="00DD4FDF" w:rsidRPr="00395B9F">
        <w:rPr>
          <w:lang w:val="en-GB"/>
        </w:rPr>
        <w:t>):</w:t>
      </w:r>
    </w:p>
    <w:p w:rsidR="008A2B77" w:rsidRPr="00395B9F" w:rsidRDefault="00DD4FDF">
      <w:pPr>
        <w:ind w:left="9" w:firstLine="2"/>
        <w:jc w:val="both"/>
        <w:rPr>
          <w:lang w:val="en-GB"/>
        </w:rPr>
      </w:pPr>
      <w:r w:rsidRPr="00395B9F">
        <w:rPr>
          <w:lang w:val="en-GB"/>
        </w:rPr>
        <w:t xml:space="preserve"> </w:t>
      </w:r>
    </w:p>
    <w:p w:rsidR="008A2B77" w:rsidRPr="00395B9F" w:rsidRDefault="00DD4FDF">
      <w:pPr>
        <w:jc w:val="both"/>
        <w:rPr>
          <w:lang w:val="en-GB"/>
        </w:rPr>
      </w:pPr>
      <w:r w:rsidRPr="00395B9F">
        <w:rPr>
          <w:lang w:val="en-GB"/>
        </w:rPr>
        <w:t>1) replace Clause 12 with the following wording:</w:t>
      </w:r>
    </w:p>
    <w:p w:rsidR="008A2B77" w:rsidRPr="00395B9F" w:rsidRDefault="008A2B77">
      <w:pPr>
        <w:ind w:left="9" w:firstLine="2"/>
        <w:jc w:val="both"/>
        <w:rPr>
          <w:lang w:val="en-GB"/>
        </w:rPr>
      </w:pPr>
    </w:p>
    <w:p w:rsidR="008A2B77" w:rsidRPr="00395B9F" w:rsidRDefault="00DD4FDF">
      <w:pPr>
        <w:ind w:left="9" w:firstLine="2"/>
        <w:jc w:val="both"/>
        <w:rPr>
          <w:lang w:val="en-GB"/>
        </w:rPr>
      </w:pPr>
      <w:r w:rsidRPr="00395B9F">
        <w:rPr>
          <w:lang w:val="en-GB"/>
        </w:rPr>
        <w:t>“12. Qualification requirements and documents confirming qualification</w:t>
      </w:r>
    </w:p>
    <w:p w:rsidR="008A2B77" w:rsidRPr="00395B9F" w:rsidRDefault="008A2B77">
      <w:pPr>
        <w:tabs>
          <w:tab w:val="left" w:pos="426"/>
        </w:tabs>
        <w:ind w:left="540"/>
        <w:jc w:val="both"/>
        <w:rPr>
          <w:color w:val="000000"/>
          <w:lang w:val="en-GB"/>
        </w:rPr>
      </w:pPr>
    </w:p>
    <w:tbl>
      <w:tblPr>
        <w:tblW w:w="9351" w:type="dxa"/>
        <w:tblInd w:w="113" w:type="dxa"/>
        <w:tblLayout w:type="fixed"/>
        <w:tblLook w:val="04A0" w:firstRow="1" w:lastRow="0" w:firstColumn="1" w:lastColumn="0" w:noHBand="0" w:noVBand="1"/>
      </w:tblPr>
      <w:tblGrid>
        <w:gridCol w:w="4361"/>
        <w:gridCol w:w="4990"/>
      </w:tblGrid>
      <w:tr w:rsidR="008A2B77" w:rsidRPr="00395B9F">
        <w:tc>
          <w:tcPr>
            <w:tcW w:w="4361" w:type="dxa"/>
            <w:tcBorders>
              <w:top w:val="single" w:sz="4" w:space="0" w:color="000000"/>
              <w:left w:val="single" w:sz="4" w:space="0" w:color="000000"/>
              <w:bottom w:val="single" w:sz="4" w:space="0" w:color="000000"/>
              <w:right w:val="single" w:sz="4" w:space="0" w:color="000000"/>
            </w:tcBorders>
            <w:shd w:val="clear" w:color="auto" w:fill="D9D9D9"/>
          </w:tcPr>
          <w:p w:rsidR="008A2B77" w:rsidRPr="00395B9F" w:rsidRDefault="00DD4FDF">
            <w:pPr>
              <w:ind w:left="426" w:hanging="426"/>
              <w:jc w:val="center"/>
              <w:rPr>
                <w:b/>
                <w:lang w:val="en-GB"/>
              </w:rPr>
            </w:pPr>
            <w:r w:rsidRPr="00395B9F">
              <w:rPr>
                <w:b/>
                <w:lang w:val="en-GB"/>
              </w:rPr>
              <w:t>Requirements imposed on the Candidate</w:t>
            </w:r>
          </w:p>
        </w:tc>
        <w:tc>
          <w:tcPr>
            <w:tcW w:w="4990" w:type="dxa"/>
            <w:tcBorders>
              <w:top w:val="single" w:sz="4" w:space="0" w:color="000000"/>
              <w:left w:val="single" w:sz="4" w:space="0" w:color="000000"/>
              <w:bottom w:val="single" w:sz="4" w:space="0" w:color="000000"/>
              <w:right w:val="single" w:sz="4" w:space="0" w:color="000000"/>
            </w:tcBorders>
            <w:shd w:val="clear" w:color="auto" w:fill="D9D9D9"/>
          </w:tcPr>
          <w:p w:rsidR="008A2B77" w:rsidRPr="00395B9F" w:rsidRDefault="00DD4FDF">
            <w:pPr>
              <w:ind w:left="720" w:hanging="720"/>
              <w:jc w:val="center"/>
              <w:rPr>
                <w:lang w:val="en-GB"/>
              </w:rPr>
            </w:pPr>
            <w:r w:rsidRPr="00395B9F">
              <w:rPr>
                <w:b/>
                <w:bCs/>
                <w:lang w:val="en-GB"/>
              </w:rPr>
              <w:t>Verification of compliance and documents to be submitted</w:t>
            </w:r>
          </w:p>
        </w:tc>
      </w:tr>
      <w:tr w:rsidR="008A2B77" w:rsidRPr="00395B9F">
        <w:tc>
          <w:tcPr>
            <w:tcW w:w="4361" w:type="dxa"/>
            <w:tcBorders>
              <w:top w:val="single" w:sz="4" w:space="0" w:color="000000"/>
              <w:left w:val="single" w:sz="4" w:space="0" w:color="000000"/>
              <w:bottom w:val="single" w:sz="4" w:space="0" w:color="000000"/>
              <w:right w:val="single" w:sz="4" w:space="0" w:color="000000"/>
            </w:tcBorders>
          </w:tcPr>
          <w:p w:rsidR="008A2B77" w:rsidRPr="00395B9F" w:rsidRDefault="00DD4FDF">
            <w:pPr>
              <w:jc w:val="both"/>
              <w:rPr>
                <w:lang w:val="en-GB"/>
              </w:rPr>
            </w:pPr>
            <w:r w:rsidRPr="00395B9F">
              <w:rPr>
                <w:lang w:val="en-GB"/>
              </w:rPr>
              <w:t>12.1. The Candidate is registered in accordance with the procedures laid down in laws and regulations (in the Enterprise Register of the Republic of Latvia, the State Revenue Service system, or an equivalent register abroad).</w:t>
            </w:r>
          </w:p>
          <w:p w:rsidR="008A2B77" w:rsidRPr="00395B9F" w:rsidRDefault="008A2B77">
            <w:pPr>
              <w:jc w:val="both"/>
              <w:rPr>
                <w:lang w:val="en-GB"/>
              </w:rPr>
            </w:pPr>
          </w:p>
        </w:tc>
        <w:tc>
          <w:tcPr>
            <w:tcW w:w="4990" w:type="dxa"/>
            <w:tcBorders>
              <w:top w:val="single" w:sz="4" w:space="0" w:color="000000"/>
              <w:left w:val="single" w:sz="4" w:space="0" w:color="000000"/>
              <w:bottom w:val="single" w:sz="4" w:space="0" w:color="000000"/>
              <w:right w:val="single" w:sz="4" w:space="0" w:color="000000"/>
            </w:tcBorders>
          </w:tcPr>
          <w:p w:rsidR="007D6C3D" w:rsidRDefault="007D6C3D" w:rsidP="007D6C3D">
            <w:pPr>
              <w:jc w:val="both"/>
              <w:rPr>
                <w:lang w:val="en-GB"/>
              </w:rPr>
            </w:pPr>
            <w:r>
              <w:rPr>
                <w:lang w:val="en-GB"/>
              </w:rPr>
              <w:t xml:space="preserve">12.1.1. the Contracting Authority shall verify the fact of registration in the Enterprise Register of the Republic of Latvia (hereinafter — LR) on the website of the Enterprise Register of LR, </w:t>
            </w:r>
            <w:hyperlink r:id="rId7" w:history="1">
              <w:r>
                <w:rPr>
                  <w:rStyle w:val="Hyperlink"/>
                  <w:lang w:val="en-GB"/>
                </w:rPr>
                <w:t>www.ur.gov.lv</w:t>
              </w:r>
            </w:hyperlink>
            <w:r>
              <w:rPr>
                <w:lang w:val="en-GB"/>
              </w:rPr>
              <w:t>. In respect of economic operators (Candidates) registered in Latvia, the Commission shall verify the fact of registration according to the data of the State Revenue Service available in the system of the State Revenue Service (https://www6.vid.gov.lv/SDV).</w:t>
            </w:r>
          </w:p>
          <w:p w:rsidR="008A2B77" w:rsidRPr="007D6C3D" w:rsidRDefault="007D6C3D" w:rsidP="007D6C3D">
            <w:pPr>
              <w:suppressAutoHyphens w:val="0"/>
              <w:jc w:val="both"/>
              <w:rPr>
                <w:rFonts w:eastAsia="Noto Serif CJK SC"/>
                <w:lang w:eastAsia="lv-LV"/>
              </w:rPr>
            </w:pPr>
            <w:r>
              <w:rPr>
                <w:lang w:val="en-GB"/>
              </w:rPr>
              <w:t>12.1.2. if the Candidate is registered abroad, it shall submit a copy of a registration certificate</w:t>
            </w:r>
            <w:r>
              <w:rPr>
                <w:rStyle w:val="FootnoteReference"/>
                <w:lang w:val="en-GB"/>
              </w:rPr>
              <w:footnoteReference w:id="1"/>
            </w:r>
            <w:r>
              <w:rPr>
                <w:lang w:val="en-GB"/>
              </w:rPr>
              <w:t xml:space="preserve"> issued by the commercial register or an equivalent institution registering commercial activity abroad.</w:t>
            </w:r>
            <w:r>
              <w:rPr>
                <w:rFonts w:eastAsia="Noto Serif CJK SC"/>
                <w:lang w:eastAsia="lv-LV"/>
              </w:rPr>
              <w:t xml:space="preserve"> </w:t>
            </w:r>
          </w:p>
        </w:tc>
      </w:tr>
      <w:tr w:rsidR="008A2B77" w:rsidRPr="00395B9F">
        <w:tc>
          <w:tcPr>
            <w:tcW w:w="4361" w:type="dxa"/>
            <w:tcBorders>
              <w:top w:val="single" w:sz="4" w:space="0" w:color="000000"/>
              <w:left w:val="single" w:sz="4" w:space="0" w:color="000000"/>
              <w:bottom w:val="single" w:sz="4" w:space="0" w:color="000000"/>
              <w:right w:val="single" w:sz="4" w:space="0" w:color="000000"/>
            </w:tcBorders>
          </w:tcPr>
          <w:p w:rsidR="008A2B77" w:rsidRPr="00395B9F" w:rsidRDefault="007D6C3D">
            <w:pPr>
              <w:shd w:val="clear" w:color="auto" w:fill="FFFFFF"/>
              <w:tabs>
                <w:tab w:val="left" w:pos="0"/>
              </w:tabs>
              <w:autoSpaceDE w:val="0"/>
              <w:ind w:right="7"/>
              <w:jc w:val="both"/>
              <w:textAlignment w:val="baseline"/>
              <w:rPr>
                <w:lang w:val="en-GB"/>
              </w:rPr>
            </w:pPr>
            <w:r>
              <w:rPr>
                <w:rFonts w:eastAsia="Calibri"/>
                <w:lang w:val="en-GB" w:eastAsia="en-US"/>
              </w:rPr>
              <w:t xml:space="preserve">12.2. The arithmetic means of the Candidate’s net financial turnover during the previous three financial years up to the date of submission of the tender is at least </w:t>
            </w:r>
            <w:r>
              <w:rPr>
                <w:rFonts w:eastAsia="Calibri"/>
                <w:lang w:val="en-GB" w:eastAsia="en-US"/>
              </w:rPr>
              <w:lastRenderedPageBreak/>
              <w:t>EUR 250,000.</w:t>
            </w:r>
          </w:p>
        </w:tc>
        <w:tc>
          <w:tcPr>
            <w:tcW w:w="4990" w:type="dxa"/>
            <w:tcBorders>
              <w:top w:val="single" w:sz="4" w:space="0" w:color="000000"/>
              <w:left w:val="single" w:sz="4" w:space="0" w:color="000000"/>
              <w:bottom w:val="single" w:sz="4" w:space="0" w:color="000000"/>
              <w:right w:val="single" w:sz="4" w:space="0" w:color="000000"/>
            </w:tcBorders>
          </w:tcPr>
          <w:p w:rsidR="007D6C3D" w:rsidRDefault="007D6C3D" w:rsidP="007D6C3D">
            <w:pPr>
              <w:tabs>
                <w:tab w:val="left" w:pos="0"/>
                <w:tab w:val="left" w:pos="142"/>
              </w:tabs>
              <w:jc w:val="both"/>
              <w:rPr>
                <w:lang w:val="en-GB"/>
              </w:rPr>
            </w:pPr>
            <w:r>
              <w:rPr>
                <w:lang w:val="en-GB"/>
              </w:rPr>
              <w:lastRenderedPageBreak/>
              <w:t xml:space="preserve">12.2.1. the Candidate shall submit to the Contracting Authority a statement regarding net financial turnover, prepared by the Candidate in accordance with the form set out in Annex 2 to </w:t>
            </w:r>
            <w:r>
              <w:rPr>
                <w:lang w:val="en-GB"/>
              </w:rPr>
              <w:lastRenderedPageBreak/>
              <w:t>the Regulations.</w:t>
            </w:r>
          </w:p>
          <w:p w:rsidR="008A2B77" w:rsidRPr="00395B9F" w:rsidRDefault="007D6C3D" w:rsidP="007D6C3D">
            <w:pPr>
              <w:shd w:val="clear" w:color="auto" w:fill="FFFFFF"/>
              <w:autoSpaceDE w:val="0"/>
              <w:ind w:right="7"/>
              <w:jc w:val="both"/>
              <w:rPr>
                <w:lang w:val="en-GB"/>
              </w:rPr>
            </w:pPr>
            <w:r>
              <w:rPr>
                <w:lang w:val="en-GB"/>
              </w:rPr>
              <w:t>12.2.2. in respect of Candidates who commenced their activity on the market later, the Candidate shall submit a certification regarding net financial turnover for the year(s) corresponding to the duration of its activity.</w:t>
            </w:r>
          </w:p>
        </w:tc>
      </w:tr>
      <w:tr w:rsidR="008A2B77" w:rsidRPr="00395B9F">
        <w:tc>
          <w:tcPr>
            <w:tcW w:w="4361" w:type="dxa"/>
            <w:tcBorders>
              <w:top w:val="single" w:sz="4" w:space="0" w:color="000000"/>
              <w:left w:val="single" w:sz="4" w:space="0" w:color="000000"/>
              <w:bottom w:val="single" w:sz="4" w:space="0" w:color="000000"/>
              <w:right w:val="single" w:sz="4" w:space="0" w:color="000000"/>
            </w:tcBorders>
          </w:tcPr>
          <w:p w:rsidR="007D6C3D" w:rsidRDefault="007D6C3D" w:rsidP="007D6C3D">
            <w:pPr>
              <w:tabs>
                <w:tab w:val="left" w:pos="426"/>
              </w:tabs>
              <w:jc w:val="both"/>
              <w:rPr>
                <w:lang w:val="en-GB"/>
              </w:rPr>
            </w:pPr>
            <w:r>
              <w:rPr>
                <w:rFonts w:eastAsia="Calibri"/>
                <w:lang w:val="en-GB" w:eastAsia="en-US"/>
              </w:rPr>
              <w:lastRenderedPageBreak/>
              <w:t>12.3. The Candidate is authorised to perform the design works necessary for performance of the contract in accordance with the requirements of the European Union Aviation Safety Agency (EASA).</w:t>
            </w:r>
          </w:p>
          <w:p w:rsidR="008A2B77" w:rsidRPr="00395B9F" w:rsidRDefault="008A2B77">
            <w:pPr>
              <w:tabs>
                <w:tab w:val="left" w:pos="426"/>
              </w:tabs>
              <w:jc w:val="both"/>
              <w:rPr>
                <w:rFonts w:eastAsia="Calibri"/>
                <w:lang w:val="en-GB" w:eastAsia="en-GB"/>
              </w:rPr>
            </w:pPr>
          </w:p>
        </w:tc>
        <w:tc>
          <w:tcPr>
            <w:tcW w:w="4990" w:type="dxa"/>
            <w:tcBorders>
              <w:top w:val="single" w:sz="4" w:space="0" w:color="000000"/>
              <w:left w:val="single" w:sz="4" w:space="0" w:color="000000"/>
              <w:bottom w:val="single" w:sz="4" w:space="0" w:color="000000"/>
              <w:right w:val="single" w:sz="4" w:space="0" w:color="000000"/>
            </w:tcBorders>
          </w:tcPr>
          <w:p w:rsidR="008A2B77" w:rsidRPr="00395B9F" w:rsidRDefault="007D6C3D">
            <w:pPr>
              <w:tabs>
                <w:tab w:val="left" w:pos="426"/>
              </w:tabs>
              <w:jc w:val="both"/>
              <w:rPr>
                <w:lang w:val="en-GB"/>
              </w:rPr>
            </w:pPr>
            <w:r>
              <w:rPr>
                <w:lang w:val="en-GB"/>
              </w:rPr>
              <w:t>12.3.1. the Candidate shall submit a copy of a design organisation approval certificate in accordance with the requirements of Annex I (Part 21) to Commission Regulation (EU) No 748/2012 of 3 August 2012 laying down implementing rules for the airworthiness and environmental certification of aircraft and related products, parts and appliances, as well as for the certification of design and production organisations.</w:t>
            </w:r>
          </w:p>
        </w:tc>
      </w:tr>
      <w:tr w:rsidR="00194E41" w:rsidRPr="00194E41">
        <w:tc>
          <w:tcPr>
            <w:tcW w:w="4361" w:type="dxa"/>
            <w:tcBorders>
              <w:top w:val="single" w:sz="4" w:space="0" w:color="000000"/>
              <w:left w:val="single" w:sz="4" w:space="0" w:color="000000"/>
              <w:bottom w:val="single" w:sz="4" w:space="0" w:color="000000"/>
              <w:right w:val="single" w:sz="4" w:space="0" w:color="000000"/>
            </w:tcBorders>
          </w:tcPr>
          <w:p w:rsidR="007D6C3D" w:rsidRPr="00194E41" w:rsidRDefault="007D6C3D" w:rsidP="007D6C3D">
            <w:pPr>
              <w:shd w:val="clear" w:color="auto" w:fill="FFFFFF"/>
              <w:tabs>
                <w:tab w:val="left" w:pos="0"/>
                <w:tab w:val="left" w:pos="426"/>
              </w:tabs>
              <w:autoSpaceDE w:val="0"/>
              <w:ind w:right="7"/>
              <w:jc w:val="both"/>
              <w:rPr>
                <w:lang w:val="en-GB"/>
              </w:rPr>
            </w:pPr>
            <w:r w:rsidRPr="00194E41">
              <w:rPr>
                <w:lang w:val="en-GB"/>
              </w:rPr>
              <w:t>12.4. If the Candidate is an association of Suppliers, the Contracting Authority shall award the right to conclude the contract only to such Candidate (association of Suppliers) in which:</w:t>
            </w:r>
          </w:p>
          <w:p w:rsidR="007D6C3D" w:rsidRPr="00194E41" w:rsidRDefault="007D6C3D" w:rsidP="007D6C3D">
            <w:pPr>
              <w:tabs>
                <w:tab w:val="left" w:pos="426"/>
              </w:tabs>
              <w:jc w:val="both"/>
              <w:rPr>
                <w:lang w:val="en-GB"/>
              </w:rPr>
            </w:pPr>
            <w:r w:rsidRPr="00194E41">
              <w:rPr>
                <w:lang w:val="en-GB"/>
              </w:rPr>
              <w:t>1) each Supplier complies with Sub-clause 12.1 of the Regulations;</w:t>
            </w:r>
          </w:p>
          <w:p w:rsidR="007D6C3D" w:rsidRPr="00194E41" w:rsidRDefault="007D6C3D" w:rsidP="007D6C3D">
            <w:pPr>
              <w:tabs>
                <w:tab w:val="left" w:pos="426"/>
              </w:tabs>
              <w:jc w:val="both"/>
              <w:rPr>
                <w:lang w:val="en-GB"/>
              </w:rPr>
            </w:pPr>
            <w:r w:rsidRPr="00194E41">
              <w:rPr>
                <w:lang w:val="en-GB"/>
              </w:rPr>
              <w:t xml:space="preserve">2) the Suppliers on whose financial capacities the Candidate relies jointly comply with Sub-clause 12.2 of the Regulations (i.e. </w:t>
            </w:r>
            <w:proofErr w:type="gramStart"/>
            <w:r w:rsidRPr="00194E41">
              <w:rPr>
                <w:lang w:val="en-GB"/>
              </w:rPr>
              <w:t>taking into account</w:t>
            </w:r>
            <w:proofErr w:type="gramEnd"/>
            <w:r w:rsidRPr="00194E41">
              <w:rPr>
                <w:lang w:val="en-GB"/>
              </w:rPr>
              <w:t xml:space="preserve"> (summing) the relevant arithmetic mean of the net financial turnover of all Suppliers, it is at least EUR 250,000);</w:t>
            </w:r>
          </w:p>
          <w:p w:rsidR="007D6C3D" w:rsidRPr="00194E41" w:rsidRDefault="007D6C3D" w:rsidP="007D6C3D">
            <w:pPr>
              <w:tabs>
                <w:tab w:val="left" w:pos="426"/>
              </w:tabs>
              <w:jc w:val="both"/>
              <w:rPr>
                <w:strike/>
                <w:lang w:val="en-GB"/>
              </w:rPr>
            </w:pPr>
            <w:r w:rsidRPr="00194E41">
              <w:rPr>
                <w:lang w:val="en-GB"/>
              </w:rPr>
              <w:t>3) at least one Supplier (which will accordingly perform the design works) complies with Sub-clause 12.3 of the Regulations.</w:t>
            </w:r>
          </w:p>
        </w:tc>
        <w:tc>
          <w:tcPr>
            <w:tcW w:w="4990" w:type="dxa"/>
            <w:tcBorders>
              <w:top w:val="single" w:sz="4" w:space="0" w:color="000000"/>
              <w:left w:val="single" w:sz="4" w:space="0" w:color="000000"/>
              <w:bottom w:val="single" w:sz="4" w:space="0" w:color="000000"/>
              <w:right w:val="single" w:sz="4" w:space="0" w:color="000000"/>
            </w:tcBorders>
          </w:tcPr>
          <w:p w:rsidR="007D6C3D" w:rsidRPr="00194E41" w:rsidRDefault="007D6C3D" w:rsidP="007D6C3D">
            <w:pPr>
              <w:shd w:val="clear" w:color="auto" w:fill="FFFFFF"/>
              <w:tabs>
                <w:tab w:val="left" w:pos="0"/>
                <w:tab w:val="left" w:pos="1276"/>
              </w:tabs>
              <w:autoSpaceDE w:val="0"/>
              <w:ind w:right="7"/>
              <w:jc w:val="both"/>
              <w:rPr>
                <w:lang w:val="en-GB"/>
              </w:rPr>
            </w:pPr>
            <w:r w:rsidRPr="00194E41">
              <w:rPr>
                <w:lang w:val="en-GB"/>
              </w:rPr>
              <w:t>12.4.1. the association of Suppliers shall include in the tender a certification or agreement prepared in free form proving the obligations undertaken by the members of the association of Suppliers in relation to implementation of the Procurement.</w:t>
            </w:r>
          </w:p>
          <w:p w:rsidR="007D6C3D" w:rsidRPr="00194E41" w:rsidRDefault="007D6C3D" w:rsidP="007D6C3D">
            <w:pPr>
              <w:shd w:val="clear" w:color="auto" w:fill="FFFFFF"/>
              <w:tabs>
                <w:tab w:val="left" w:pos="0"/>
                <w:tab w:val="left" w:pos="1276"/>
              </w:tabs>
              <w:autoSpaceDE w:val="0"/>
              <w:ind w:right="7"/>
              <w:jc w:val="both"/>
              <w:rPr>
                <w:lang w:val="en-GB"/>
              </w:rPr>
            </w:pPr>
            <w:r w:rsidRPr="00194E41">
              <w:rPr>
                <w:lang w:val="en-GB"/>
              </w:rPr>
              <w:t>12.4.2. when drawing up the certification or agreement referred to in Sub-clause 12.4.1 of the Regulations, the association of Suppliers shall:</w:t>
            </w:r>
          </w:p>
          <w:p w:rsidR="007D6C3D" w:rsidRPr="00194E41" w:rsidRDefault="007D6C3D" w:rsidP="007D6C3D">
            <w:pPr>
              <w:shd w:val="clear" w:color="auto" w:fill="FFFFFF"/>
              <w:tabs>
                <w:tab w:val="left" w:pos="0"/>
                <w:tab w:val="left" w:pos="1276"/>
              </w:tabs>
              <w:autoSpaceDE w:val="0"/>
              <w:ind w:right="7"/>
              <w:jc w:val="both"/>
              <w:rPr>
                <w:lang w:val="en-GB"/>
              </w:rPr>
            </w:pPr>
            <w:r w:rsidRPr="00194E41">
              <w:rPr>
                <w:lang w:val="en-GB"/>
              </w:rPr>
              <w:t>12.4.2.1. indicate the scope of competence of each Supplier and a list of the works to be performed (duties to be fulfilled) during performance of the contract;</w:t>
            </w:r>
          </w:p>
          <w:p w:rsidR="007D6C3D" w:rsidRPr="00194E41" w:rsidRDefault="007D6C3D" w:rsidP="007D6C3D">
            <w:pPr>
              <w:shd w:val="clear" w:color="auto" w:fill="FFFFFF"/>
              <w:tabs>
                <w:tab w:val="left" w:pos="0"/>
                <w:tab w:val="left" w:pos="1276"/>
              </w:tabs>
              <w:autoSpaceDE w:val="0"/>
              <w:ind w:right="7"/>
              <w:jc w:val="both"/>
              <w:rPr>
                <w:lang w:val="en-GB"/>
              </w:rPr>
            </w:pPr>
            <w:r w:rsidRPr="00194E41">
              <w:rPr>
                <w:lang w:val="en-GB"/>
              </w:rPr>
              <w:t>12.4.2.2. indicate that, if the right to conclude the procurement contract is awarded, the association of Suppliers shall, at its choice, not later than within 30 (thirty) calendar days from dispatch of the decision awarding the right to conclude the contract, establish a partnership or enter into a partnership agreement, agreeing on the allocation of liability among the members of the association of Suppliers.</w:t>
            </w:r>
          </w:p>
          <w:p w:rsidR="007D6C3D" w:rsidRPr="00194E41" w:rsidRDefault="007D6C3D" w:rsidP="007D6C3D">
            <w:pPr>
              <w:shd w:val="clear" w:color="auto" w:fill="FFFFFF"/>
              <w:tabs>
                <w:tab w:val="left" w:pos="0"/>
                <w:tab w:val="left" w:pos="1276"/>
              </w:tabs>
              <w:autoSpaceDE w:val="0"/>
              <w:ind w:right="7"/>
              <w:jc w:val="both"/>
              <w:rPr>
                <w:lang w:val="en-GB"/>
              </w:rPr>
            </w:pPr>
            <w:r w:rsidRPr="00194E41">
              <w:rPr>
                <w:lang w:val="en-GB"/>
              </w:rPr>
              <w:t>12.4.3. qualification documents for each member of the association of Suppliers shall be submitted to the extent to which they participate in the Application and performance of the contract.</w:t>
            </w:r>
          </w:p>
          <w:p w:rsidR="007D6C3D" w:rsidRPr="00194E41" w:rsidRDefault="007D6C3D" w:rsidP="007D6C3D">
            <w:pPr>
              <w:pStyle w:val="Default"/>
              <w:jc w:val="both"/>
              <w:rPr>
                <w:color w:val="auto"/>
                <w:lang w:val="en-GB"/>
              </w:rPr>
            </w:pPr>
            <w:r w:rsidRPr="00194E41">
              <w:rPr>
                <w:iCs/>
                <w:color w:val="auto"/>
                <w:lang w:val="en-GB"/>
              </w:rPr>
              <w:t>Note: the association of Suppliers is entitled to submit a partnership agreement in the Application without submitting the agreement or certification referred to in Sub-clause 12.4.1.</w:t>
            </w:r>
          </w:p>
        </w:tc>
      </w:tr>
      <w:tr w:rsidR="007D6C3D" w:rsidRPr="00194E41">
        <w:tc>
          <w:tcPr>
            <w:tcW w:w="4361" w:type="dxa"/>
            <w:tcBorders>
              <w:top w:val="single" w:sz="4" w:space="0" w:color="000000"/>
              <w:left w:val="single" w:sz="4" w:space="0" w:color="000000"/>
              <w:bottom w:val="single" w:sz="4" w:space="0" w:color="000000"/>
              <w:right w:val="single" w:sz="4" w:space="0" w:color="000000"/>
            </w:tcBorders>
          </w:tcPr>
          <w:p w:rsidR="007D6C3D" w:rsidRPr="00194E41" w:rsidRDefault="007D6C3D" w:rsidP="007D6C3D">
            <w:pPr>
              <w:shd w:val="clear" w:color="auto" w:fill="FFFFFF"/>
              <w:tabs>
                <w:tab w:val="left" w:pos="0"/>
                <w:tab w:val="left" w:pos="426"/>
              </w:tabs>
              <w:autoSpaceDE w:val="0"/>
              <w:ind w:right="7"/>
              <w:jc w:val="both"/>
              <w:rPr>
                <w:lang w:val="en-GB"/>
              </w:rPr>
            </w:pPr>
            <w:r w:rsidRPr="00194E41">
              <w:rPr>
                <w:lang w:val="en-GB"/>
              </w:rPr>
              <w:t>12.5. If the Candidate plans to engage a subcontractor in order to ensure performance of the contract, the Contracting Authority shall award the right to conclude the contract only to such Candidate for which:</w:t>
            </w:r>
          </w:p>
          <w:p w:rsidR="007D6C3D" w:rsidRPr="00194E41" w:rsidRDefault="007D6C3D" w:rsidP="007D6C3D">
            <w:pPr>
              <w:tabs>
                <w:tab w:val="left" w:pos="426"/>
              </w:tabs>
              <w:jc w:val="both"/>
              <w:rPr>
                <w:lang w:val="en-GB"/>
              </w:rPr>
            </w:pPr>
            <w:r w:rsidRPr="00194E41">
              <w:rPr>
                <w:lang w:val="en-GB"/>
              </w:rPr>
              <w:lastRenderedPageBreak/>
              <w:t>1) the subcontractor complies with Sub-clause 12.1 of the Regulations;</w:t>
            </w:r>
          </w:p>
          <w:p w:rsidR="007D6C3D" w:rsidRPr="00194E41" w:rsidRDefault="007D6C3D" w:rsidP="007D6C3D">
            <w:pPr>
              <w:ind w:right="43"/>
              <w:jc w:val="both"/>
              <w:rPr>
                <w:lang w:val="en-GB"/>
              </w:rPr>
            </w:pPr>
            <w:r w:rsidRPr="00194E41">
              <w:rPr>
                <w:lang w:val="en-GB"/>
              </w:rPr>
              <w:t>2) the subcontractor is able to prove the transfer of resources to the Candidate for performance of the contract;</w:t>
            </w:r>
          </w:p>
          <w:p w:rsidR="007D6C3D" w:rsidRPr="00194E41" w:rsidRDefault="007D6C3D" w:rsidP="007D6C3D">
            <w:pPr>
              <w:ind w:right="43"/>
              <w:jc w:val="both"/>
              <w:rPr>
                <w:lang w:val="en-GB"/>
              </w:rPr>
            </w:pPr>
            <w:r w:rsidRPr="00194E41">
              <w:rPr>
                <w:lang w:val="en-GB"/>
              </w:rPr>
              <w:t>3) the subcontractor complies with the requirements set out in the Regulations according to its participation in performance of the contract.</w:t>
            </w:r>
          </w:p>
          <w:p w:rsidR="007D6C3D" w:rsidRPr="00194E41" w:rsidRDefault="007D6C3D" w:rsidP="007D6C3D">
            <w:pPr>
              <w:ind w:right="43"/>
              <w:jc w:val="both"/>
              <w:rPr>
                <w:lang w:val="en-GB"/>
              </w:rPr>
            </w:pPr>
            <w:r w:rsidRPr="00194E41">
              <w:rPr>
                <w:i/>
                <w:lang w:val="en-GB"/>
              </w:rPr>
              <w:t>Note: The Contracting Authority may engage a subcontractor only if the subcontractor will provide services necessary for performance of the contract.</w:t>
            </w:r>
          </w:p>
          <w:p w:rsidR="007D6C3D" w:rsidRPr="00194E41" w:rsidRDefault="007D6C3D" w:rsidP="007D6C3D">
            <w:pPr>
              <w:ind w:right="43"/>
              <w:jc w:val="both"/>
              <w:rPr>
                <w:shd w:val="clear" w:color="auto" w:fill="FFFFFF"/>
                <w:lang w:val="en-GB"/>
              </w:rPr>
            </w:pPr>
          </w:p>
        </w:tc>
        <w:tc>
          <w:tcPr>
            <w:tcW w:w="4990" w:type="dxa"/>
            <w:tcBorders>
              <w:top w:val="single" w:sz="4" w:space="0" w:color="000000"/>
              <w:left w:val="single" w:sz="4" w:space="0" w:color="000000"/>
              <w:bottom w:val="single" w:sz="4" w:space="0" w:color="000000"/>
              <w:right w:val="single" w:sz="4" w:space="0" w:color="000000"/>
            </w:tcBorders>
          </w:tcPr>
          <w:p w:rsidR="007D6C3D" w:rsidRPr="00194E41" w:rsidRDefault="007D6C3D" w:rsidP="007D6C3D">
            <w:pPr>
              <w:shd w:val="clear" w:color="auto" w:fill="FFFFFF"/>
              <w:tabs>
                <w:tab w:val="left" w:pos="350"/>
              </w:tabs>
              <w:autoSpaceDE w:val="0"/>
              <w:ind w:right="7"/>
              <w:jc w:val="both"/>
              <w:rPr>
                <w:lang w:val="en-GB"/>
              </w:rPr>
            </w:pPr>
            <w:r w:rsidRPr="00194E41">
              <w:rPr>
                <w:lang w:val="en-GB"/>
              </w:rPr>
              <w:lastRenderedPageBreak/>
              <w:t>12.5.1. the Candidate shall include in the Application a certification by the subcontractor in accordance with the form set out in Annex 3 to the Regulations, confirming that it agrees to participate in the Procurement and indicating:</w:t>
            </w:r>
          </w:p>
          <w:p w:rsidR="007D6C3D" w:rsidRPr="00194E41" w:rsidRDefault="007D6C3D" w:rsidP="007D6C3D">
            <w:pPr>
              <w:shd w:val="clear" w:color="auto" w:fill="FFFFFF"/>
              <w:tabs>
                <w:tab w:val="left" w:pos="0"/>
                <w:tab w:val="left" w:pos="1276"/>
              </w:tabs>
              <w:autoSpaceDE w:val="0"/>
              <w:ind w:right="7"/>
              <w:jc w:val="both"/>
              <w:rPr>
                <w:lang w:val="en-GB"/>
              </w:rPr>
            </w:pPr>
            <w:r w:rsidRPr="00194E41">
              <w:rPr>
                <w:bCs/>
                <w:lang w:val="en-GB"/>
              </w:rPr>
              <w:t xml:space="preserve">12.5.1.1. the services which it undertakes to </w:t>
            </w:r>
            <w:r w:rsidRPr="00194E41">
              <w:rPr>
                <w:bCs/>
                <w:lang w:val="en-GB"/>
              </w:rPr>
              <w:lastRenderedPageBreak/>
              <w:t>perform within the contract if a contract is subsequently concluded with the Candidate;</w:t>
            </w:r>
          </w:p>
          <w:p w:rsidR="007D6C3D" w:rsidRPr="00194E41" w:rsidRDefault="007D6C3D" w:rsidP="007D6C3D">
            <w:pPr>
              <w:shd w:val="clear" w:color="auto" w:fill="FFFFFF"/>
              <w:tabs>
                <w:tab w:val="left" w:pos="0"/>
                <w:tab w:val="left" w:pos="1276"/>
              </w:tabs>
              <w:autoSpaceDE w:val="0"/>
              <w:ind w:right="7"/>
              <w:jc w:val="both"/>
              <w:rPr>
                <w:lang w:val="en-GB"/>
              </w:rPr>
            </w:pPr>
            <w:r w:rsidRPr="00194E41">
              <w:rPr>
                <w:bCs/>
                <w:lang w:val="en-GB"/>
              </w:rPr>
              <w:t>12.5.1.2. the cost of the services to be performed in euro;</w:t>
            </w:r>
          </w:p>
          <w:p w:rsidR="007D6C3D" w:rsidRPr="00194E41" w:rsidRDefault="007D6C3D" w:rsidP="007D6C3D">
            <w:pPr>
              <w:shd w:val="clear" w:color="auto" w:fill="FFFFFF"/>
              <w:tabs>
                <w:tab w:val="left" w:pos="0"/>
                <w:tab w:val="left" w:pos="1276"/>
              </w:tabs>
              <w:autoSpaceDE w:val="0"/>
              <w:ind w:right="7"/>
              <w:jc w:val="both"/>
              <w:rPr>
                <w:lang w:val="en-GB"/>
              </w:rPr>
            </w:pPr>
            <w:r w:rsidRPr="00194E41">
              <w:rPr>
                <w:bCs/>
                <w:lang w:val="en-GB"/>
              </w:rPr>
              <w:t>12.5.1.3. information on the resources to be placed at the disposal of the Candidate and the manner of transfer of the resources;</w:t>
            </w:r>
          </w:p>
          <w:p w:rsidR="007D6C3D" w:rsidRPr="00194E41" w:rsidRDefault="007D6C3D" w:rsidP="007D6C3D">
            <w:pPr>
              <w:shd w:val="clear" w:color="auto" w:fill="FFFFFF"/>
              <w:tabs>
                <w:tab w:val="left" w:pos="0"/>
                <w:tab w:val="left" w:pos="1276"/>
              </w:tabs>
              <w:autoSpaceDE w:val="0"/>
              <w:ind w:right="7"/>
              <w:jc w:val="both"/>
              <w:rPr>
                <w:bCs/>
                <w:lang w:val="en-GB"/>
              </w:rPr>
            </w:pPr>
            <w:r w:rsidRPr="00194E41">
              <w:rPr>
                <w:rFonts w:eastAsia="Calibri"/>
                <w:bCs/>
                <w:lang w:val="en-GB" w:eastAsia="en-US"/>
              </w:rPr>
              <w:t>12.5.1.4. information on compliance or non-compliance with the status of a small or medium-sized enterprise</w:t>
            </w:r>
            <w:r w:rsidRPr="00194E41">
              <w:rPr>
                <w:rStyle w:val="FootnoteReference"/>
                <w:lang w:val="en-GB"/>
              </w:rPr>
              <w:footnoteReference w:id="2"/>
            </w:r>
            <w:r w:rsidRPr="00194E41">
              <w:rPr>
                <w:bCs/>
                <w:lang w:val="en-GB"/>
              </w:rPr>
              <w:t>.</w:t>
            </w:r>
          </w:p>
          <w:p w:rsidR="007D6C3D" w:rsidRPr="00194E41" w:rsidRDefault="007D6C3D" w:rsidP="007D6C3D">
            <w:pPr>
              <w:suppressAutoHyphens w:val="0"/>
              <w:rPr>
                <w:rFonts w:eastAsia="Noto Serif CJK SC"/>
                <w:lang w:eastAsia="lv-LV"/>
              </w:rPr>
            </w:pPr>
            <w:r w:rsidRPr="00194E41">
              <w:rPr>
                <w:lang w:val="en-GB"/>
              </w:rPr>
              <w:t>12.5.2. qualification documents for each subcontractor shall be submitted to the extent to which they participate in the Application and performance of the contract.</w:t>
            </w:r>
            <w:r w:rsidRPr="00194E41">
              <w:rPr>
                <w:rFonts w:eastAsia="Noto Serif CJK SC"/>
                <w:lang w:eastAsia="lv-LV"/>
              </w:rPr>
              <w:t xml:space="preserve"> </w:t>
            </w:r>
          </w:p>
          <w:p w:rsidR="007D6C3D" w:rsidRPr="00194E41" w:rsidRDefault="007D6C3D" w:rsidP="007D6C3D">
            <w:pPr>
              <w:shd w:val="clear" w:color="auto" w:fill="FFFFFF"/>
              <w:tabs>
                <w:tab w:val="left" w:pos="0"/>
                <w:tab w:val="left" w:pos="1276"/>
              </w:tabs>
              <w:autoSpaceDE w:val="0"/>
              <w:ind w:right="7"/>
              <w:jc w:val="both"/>
              <w:rPr>
                <w:lang w:val="en-GB"/>
              </w:rPr>
            </w:pPr>
          </w:p>
        </w:tc>
      </w:tr>
    </w:tbl>
    <w:p w:rsidR="008A2B77" w:rsidRPr="00194E41" w:rsidRDefault="008A2B77">
      <w:pPr>
        <w:jc w:val="both"/>
        <w:rPr>
          <w:lang w:val="en-GB"/>
        </w:rPr>
      </w:pPr>
    </w:p>
    <w:p w:rsidR="007D6C3D" w:rsidRPr="00194E41" w:rsidRDefault="007D6C3D" w:rsidP="007D6C3D">
      <w:pPr>
        <w:pStyle w:val="Header"/>
        <w:tabs>
          <w:tab w:val="left" w:pos="720"/>
        </w:tabs>
        <w:jc w:val="both"/>
        <w:rPr>
          <w:lang w:val="en-GB"/>
        </w:rPr>
      </w:pPr>
      <w:r w:rsidRPr="00194E41">
        <w:rPr>
          <w:lang w:val="en-GB"/>
        </w:rPr>
        <w:t>12.6. As preliminary evidence of compliance with the qualification requirements, the Candidate may submit the European Single Procurement Document (hereinafter — ESPD)</w:t>
      </w:r>
      <w:r w:rsidRPr="00194E41">
        <w:rPr>
          <w:rStyle w:val="FootnoteReference"/>
          <w:lang w:val="en-GB"/>
        </w:rPr>
        <w:footnoteReference w:id="3"/>
      </w:r>
      <w:r w:rsidRPr="00194E41">
        <w:rPr>
          <w:lang w:val="en-GB"/>
        </w:rPr>
        <w:t>. If the Candidate chooses to submit the ESPD, the Candidate is not required to submit the documents specified in Sub-clauses 12.2–12.3 of the Regulations. When preparing the ESPD:</w:t>
      </w:r>
    </w:p>
    <w:p w:rsidR="007D6C3D" w:rsidRPr="00194E41" w:rsidRDefault="007D6C3D" w:rsidP="007D6C3D">
      <w:pPr>
        <w:tabs>
          <w:tab w:val="left" w:pos="0"/>
          <w:tab w:val="left" w:pos="142"/>
        </w:tabs>
        <w:jc w:val="both"/>
        <w:rPr>
          <w:lang w:val="en-GB"/>
        </w:rPr>
      </w:pPr>
      <w:r w:rsidRPr="00194E41">
        <w:rPr>
          <w:lang w:val="en-GB"/>
        </w:rPr>
        <w:t>12.6.1. the Candidate is not required to provide the information requested in Parts II and III of the ESPD form in respect of subcontractors on whose capacities it does not rely;</w:t>
      </w:r>
    </w:p>
    <w:p w:rsidR="007D6C3D" w:rsidRPr="00194E41" w:rsidRDefault="007D6C3D" w:rsidP="007D6C3D">
      <w:pPr>
        <w:tabs>
          <w:tab w:val="left" w:pos="0"/>
          <w:tab w:val="left" w:pos="142"/>
        </w:tabs>
        <w:jc w:val="both"/>
        <w:rPr>
          <w:lang w:val="en-GB"/>
        </w:rPr>
      </w:pPr>
      <w:r w:rsidRPr="00194E41">
        <w:rPr>
          <w:lang w:val="en-GB"/>
        </w:rPr>
        <w:t xml:space="preserve">12.6.2. In Part IV of the ESPD form, the Candidate shall complete only Section </w:t>
      </w:r>
      <w:r w:rsidRPr="00194E41">
        <w:rPr>
          <w:rFonts w:ascii="Symbol" w:eastAsia="Symbol" w:hAnsi="Symbol" w:cs="Symbol"/>
          <w:lang w:val="en-GB"/>
        </w:rPr>
        <w:sym w:font="Symbol" w:char="F061"/>
      </w:r>
      <w:r w:rsidRPr="00194E41">
        <w:rPr>
          <w:lang w:val="en-GB"/>
        </w:rPr>
        <w:t>, without completing the other sections of Part IV.</w:t>
      </w:r>
    </w:p>
    <w:p w:rsidR="007D6C3D" w:rsidRPr="00194E41" w:rsidRDefault="007D6C3D" w:rsidP="007D6C3D">
      <w:pPr>
        <w:widowControl w:val="0"/>
        <w:tabs>
          <w:tab w:val="left" w:pos="684"/>
        </w:tabs>
        <w:jc w:val="both"/>
        <w:rPr>
          <w:lang w:val="en-GB"/>
        </w:rPr>
      </w:pPr>
    </w:p>
    <w:p w:rsidR="007D6C3D" w:rsidRPr="00194E41" w:rsidRDefault="007D6C3D" w:rsidP="007D6C3D">
      <w:pPr>
        <w:tabs>
          <w:tab w:val="left" w:pos="540"/>
        </w:tabs>
        <w:jc w:val="both"/>
        <w:rPr>
          <w:lang w:val="en-GB"/>
        </w:rPr>
      </w:pPr>
      <w:r w:rsidRPr="00194E41">
        <w:rPr>
          <w:i/>
          <w:lang w:val="en-GB"/>
        </w:rPr>
        <w:t>Note. If the Candidate chooses to submit the ESPD, the Candidate shall also submit the ESPD for each person on whose capacities it relies in order to prove its compliance with the qualification requirements laid down in the Regulations. This means that, if the Tenderer is an association of Suppliers and chooses to submit the ESPD, each member of the association of Suppliers shall prepare a separate ESPD in respect of itself. If the Tenderer intends to transfer the performance of a certain part of the contractual obligations to a subcontractor who meets the criteria laid down in Section 63, Paragraph two of the Public Procurement Law (the value of services to be provided by the subcontractor is at least EUR 10,000, also taking into account the provisions of Section 63, Paragraph three of the Public Procurement Law), the Candidate shall submit an ESPD for each subcontractor indicated by the Candidate, prepared by each subcontractor in respect of itself.</w:t>
      </w:r>
      <w:r w:rsidRPr="00194E41">
        <w:rPr>
          <w:lang w:val="en-GB"/>
        </w:rPr>
        <w:t>”</w:t>
      </w:r>
    </w:p>
    <w:p w:rsidR="008A2B77" w:rsidRPr="00194E41" w:rsidRDefault="008A2B77">
      <w:pPr>
        <w:ind w:left="9" w:firstLine="2"/>
        <w:jc w:val="both"/>
        <w:rPr>
          <w:i/>
          <w:lang w:val="en-GB"/>
        </w:rPr>
      </w:pPr>
    </w:p>
    <w:p w:rsidR="008A2B77" w:rsidRPr="00194E41" w:rsidRDefault="00DD4FDF">
      <w:pPr>
        <w:ind w:left="9" w:firstLine="2"/>
        <w:jc w:val="both"/>
        <w:rPr>
          <w:lang w:val="en-GB"/>
        </w:rPr>
      </w:pPr>
      <w:r w:rsidRPr="00194E41">
        <w:rPr>
          <w:lang w:val="en-GB"/>
        </w:rPr>
        <w:t>2) in Sub-clause 14, replace the figures and words “21 August 2026 at 11.00” with the figures and words “25 August 2026 at 11.00”;</w:t>
      </w:r>
    </w:p>
    <w:p w:rsidR="008A2B77" w:rsidRPr="00194E41" w:rsidRDefault="008A2B77">
      <w:pPr>
        <w:ind w:left="9" w:firstLine="2"/>
        <w:jc w:val="both"/>
        <w:rPr>
          <w:bCs/>
          <w:iCs/>
          <w:lang w:val="en-GB" w:eastAsia="en-GB"/>
        </w:rPr>
      </w:pPr>
    </w:p>
    <w:p w:rsidR="008A2B77" w:rsidRPr="00194E41" w:rsidRDefault="00DD4FDF">
      <w:pPr>
        <w:jc w:val="both"/>
        <w:rPr>
          <w:bCs/>
          <w:iCs/>
          <w:lang w:val="en-GB" w:eastAsia="en-GB"/>
        </w:rPr>
      </w:pPr>
      <w:r w:rsidRPr="00194E41">
        <w:rPr>
          <w:bCs/>
          <w:iCs/>
          <w:lang w:val="en-GB" w:eastAsia="en-GB"/>
        </w:rPr>
        <w:t>3) in Sub-clause 15.1, replace the figures and words “21 August 2026 at 15.00” with the figures and words “25 August 2026 at 15.00”.</w:t>
      </w:r>
    </w:p>
    <w:p w:rsidR="008A2B77" w:rsidRPr="00194E41" w:rsidRDefault="008A2B77">
      <w:pPr>
        <w:tabs>
          <w:tab w:val="left" w:pos="360"/>
        </w:tabs>
        <w:jc w:val="both"/>
        <w:rPr>
          <w:b/>
          <w:lang w:val="en-GB"/>
        </w:rPr>
      </w:pPr>
    </w:p>
    <w:sectPr w:rsidR="008A2B77" w:rsidRPr="00194E41">
      <w:headerReference w:type="default" r:id="rId8"/>
      <w:headerReference w:type="first" r:id="rId9"/>
      <w:footnotePr>
        <w:numRestart w:val="eachSect"/>
      </w:footnotePr>
      <w:pgSz w:w="11906" w:h="16838"/>
      <w:pgMar w:top="1134" w:right="851" w:bottom="1134" w:left="1701" w:header="709"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3706" w:rsidRDefault="00AC3706">
      <w:r>
        <w:separator/>
      </w:r>
    </w:p>
  </w:endnote>
  <w:endnote w:type="continuationSeparator" w:id="0">
    <w:p w:rsidR="00AC3706" w:rsidRDefault="00AC3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Mang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3706" w:rsidRDefault="00AC3706">
      <w:r>
        <w:separator/>
      </w:r>
    </w:p>
  </w:footnote>
  <w:footnote w:type="continuationSeparator" w:id="0">
    <w:p w:rsidR="00AC3706" w:rsidRDefault="00AC3706">
      <w:r>
        <w:continuationSeparator/>
      </w:r>
    </w:p>
  </w:footnote>
  <w:footnote w:id="1">
    <w:p w:rsidR="007D6C3D" w:rsidRDefault="007D6C3D" w:rsidP="007D6C3D">
      <w:pPr>
        <w:pStyle w:val="FootnoteText"/>
        <w:jc w:val="both"/>
      </w:pPr>
      <w:r>
        <w:rPr>
          <w:rStyle w:val="FootnoteCharacters"/>
        </w:rPr>
        <w:footnoteRef/>
      </w:r>
      <w:r>
        <w:t xml:space="preserve"> </w:t>
      </w:r>
      <w:bookmarkStart w:id="0" w:name="_GoBack"/>
      <w:r w:rsidRPr="00194E41">
        <w:rPr>
          <w:lang w:val="en-GB"/>
        </w:rPr>
        <w:t>If the laws and regulations of the country of registration do not provide for the issuance of a registration certificate, the Candidate shall submit information regarding the Candidate’s registered name, number and date of registration, the competent authority in the country of registration which, where necessary, can certify the fact of registration, as well as other necessary information (for example, a website where the fact of the Candidate’s registration can be verified).</w:t>
      </w:r>
      <w:bookmarkEnd w:id="0"/>
    </w:p>
  </w:footnote>
  <w:footnote w:id="2">
    <w:p w:rsidR="007D6C3D" w:rsidRDefault="007D6C3D" w:rsidP="007D6C3D">
      <w:pPr>
        <w:pStyle w:val="FootnoteText"/>
        <w:jc w:val="both"/>
      </w:pPr>
      <w:r>
        <w:rPr>
          <w:rStyle w:val="FootnoteCharacters"/>
        </w:rPr>
        <w:footnoteRef/>
      </w:r>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the</w:t>
      </w:r>
      <w:proofErr w:type="spellEnd"/>
      <w:r>
        <w:t xml:space="preserve"> </w:t>
      </w:r>
      <w:proofErr w:type="spellStart"/>
      <w:r>
        <w:t>Commission</w:t>
      </w:r>
      <w:proofErr w:type="spellEnd"/>
      <w:r>
        <w:t xml:space="preserve"> </w:t>
      </w:r>
      <w:proofErr w:type="spellStart"/>
      <w:r>
        <w:t>Recommendation</w:t>
      </w:r>
      <w:proofErr w:type="spellEnd"/>
      <w:r>
        <w:t xml:space="preserve"> </w:t>
      </w:r>
      <w:proofErr w:type="spellStart"/>
      <w:r>
        <w:t>of</w:t>
      </w:r>
      <w:proofErr w:type="spellEnd"/>
      <w:r>
        <w:t xml:space="preserve"> 6 </w:t>
      </w:r>
      <w:proofErr w:type="spellStart"/>
      <w:r>
        <w:t>May</w:t>
      </w:r>
      <w:proofErr w:type="spellEnd"/>
      <w:r>
        <w:t xml:space="preserve"> 2003 </w:t>
      </w:r>
      <w:proofErr w:type="spellStart"/>
      <w:r>
        <w:t>concerning</w:t>
      </w:r>
      <w:proofErr w:type="spellEnd"/>
      <w:r>
        <w:t xml:space="preserve"> </w:t>
      </w:r>
      <w:proofErr w:type="spellStart"/>
      <w:r>
        <w:t>the</w:t>
      </w:r>
      <w:proofErr w:type="spellEnd"/>
      <w:r>
        <w:t xml:space="preserve"> </w:t>
      </w:r>
      <w:proofErr w:type="spellStart"/>
      <w:r>
        <w:t>definition</w:t>
      </w:r>
      <w:proofErr w:type="spellEnd"/>
      <w:r>
        <w:t xml:space="preserve"> </w:t>
      </w:r>
      <w:proofErr w:type="spellStart"/>
      <w:r>
        <w:t>of</w:t>
      </w:r>
      <w:proofErr w:type="spellEnd"/>
      <w:r>
        <w:t xml:space="preserve"> </w:t>
      </w:r>
      <w:proofErr w:type="spellStart"/>
      <w:r>
        <w:t>micro</w:t>
      </w:r>
      <w:proofErr w:type="spellEnd"/>
      <w:r>
        <w:t xml:space="preserve">, </w:t>
      </w:r>
      <w:proofErr w:type="spellStart"/>
      <w:r>
        <w:t>small</w:t>
      </w:r>
      <w:proofErr w:type="spellEnd"/>
      <w:r>
        <w:t xml:space="preserve"> </w:t>
      </w:r>
      <w:proofErr w:type="spellStart"/>
      <w:r>
        <w:t>and</w:t>
      </w:r>
      <w:proofErr w:type="spellEnd"/>
      <w:r>
        <w:t xml:space="preserve"> </w:t>
      </w:r>
      <w:proofErr w:type="spellStart"/>
      <w:r>
        <w:t>medium-sized</w:t>
      </w:r>
      <w:proofErr w:type="spellEnd"/>
      <w:r>
        <w:t xml:space="preserve"> </w:t>
      </w:r>
      <w:proofErr w:type="spellStart"/>
      <w:r>
        <w:t>enterprises</w:t>
      </w:r>
      <w:proofErr w:type="spellEnd"/>
      <w:r>
        <w:t xml:space="preserve"> (OJ L 124, 20.5.2003), a </w:t>
      </w:r>
      <w:proofErr w:type="spellStart"/>
      <w:r>
        <w:t>small</w:t>
      </w:r>
      <w:proofErr w:type="spellEnd"/>
      <w:r>
        <w:t xml:space="preserve"> </w:t>
      </w:r>
      <w:proofErr w:type="spellStart"/>
      <w:r>
        <w:t>or</w:t>
      </w:r>
      <w:proofErr w:type="spellEnd"/>
      <w:r>
        <w:t xml:space="preserve"> </w:t>
      </w:r>
      <w:proofErr w:type="spellStart"/>
      <w:r>
        <w:t>medium-sized</w:t>
      </w:r>
      <w:proofErr w:type="spellEnd"/>
      <w:r>
        <w:t xml:space="preserve"> </w:t>
      </w:r>
      <w:proofErr w:type="spellStart"/>
      <w:r>
        <w:t>enterprise</w:t>
      </w:r>
      <w:proofErr w:type="spellEnd"/>
      <w:r>
        <w:t xml:space="preserve"> </w:t>
      </w:r>
      <w:proofErr w:type="spellStart"/>
      <w:r>
        <w:t>is</w:t>
      </w:r>
      <w:proofErr w:type="spellEnd"/>
      <w:r>
        <w:t xml:space="preserve"> </w:t>
      </w:r>
      <w:proofErr w:type="spellStart"/>
      <w:r>
        <w:t>an</w:t>
      </w:r>
      <w:proofErr w:type="spellEnd"/>
      <w:r>
        <w:t xml:space="preserve"> </w:t>
      </w:r>
      <w:proofErr w:type="spellStart"/>
      <w:r>
        <w:t>enterprise</w:t>
      </w:r>
      <w:proofErr w:type="spellEnd"/>
      <w:r>
        <w:t xml:space="preserve"> </w:t>
      </w:r>
      <w:proofErr w:type="spellStart"/>
      <w:r>
        <w:t>which</w:t>
      </w:r>
      <w:proofErr w:type="spellEnd"/>
      <w:r>
        <w:t xml:space="preserve"> </w:t>
      </w:r>
      <w:proofErr w:type="spellStart"/>
      <w:r>
        <w:t>employs</w:t>
      </w:r>
      <w:proofErr w:type="spellEnd"/>
      <w:r>
        <w:t xml:space="preserve"> </w:t>
      </w:r>
      <w:proofErr w:type="spellStart"/>
      <w:r>
        <w:t>fewer</w:t>
      </w:r>
      <w:proofErr w:type="spellEnd"/>
      <w:r>
        <w:t xml:space="preserve"> </w:t>
      </w:r>
      <w:proofErr w:type="spellStart"/>
      <w:r>
        <w:t>than</w:t>
      </w:r>
      <w:proofErr w:type="spellEnd"/>
      <w:r>
        <w:t xml:space="preserve"> 250 </w:t>
      </w:r>
      <w:proofErr w:type="spellStart"/>
      <w:r>
        <w:t>persons</w:t>
      </w:r>
      <w:proofErr w:type="spellEnd"/>
      <w:r>
        <w:t xml:space="preserve"> </w:t>
      </w:r>
      <w:proofErr w:type="spellStart"/>
      <w:r>
        <w:t>and</w:t>
      </w:r>
      <w:proofErr w:type="spellEnd"/>
      <w:r>
        <w:t xml:space="preserve"> </w:t>
      </w:r>
      <w:proofErr w:type="spellStart"/>
      <w:r>
        <w:t>has</w:t>
      </w:r>
      <w:proofErr w:type="spellEnd"/>
      <w:r>
        <w:t xml:space="preserve"> </w:t>
      </w:r>
      <w:proofErr w:type="spellStart"/>
      <w:r>
        <w:t>an</w:t>
      </w:r>
      <w:proofErr w:type="spellEnd"/>
      <w:r>
        <w:t xml:space="preserve"> </w:t>
      </w:r>
      <w:proofErr w:type="spellStart"/>
      <w:r>
        <w:t>annual</w:t>
      </w:r>
      <w:proofErr w:type="spellEnd"/>
      <w:r>
        <w:t xml:space="preserve"> </w:t>
      </w:r>
      <w:proofErr w:type="spellStart"/>
      <w:r>
        <w:t>turnover</w:t>
      </w:r>
      <w:proofErr w:type="spellEnd"/>
      <w:r>
        <w:t xml:space="preserve"> </w:t>
      </w:r>
      <w:proofErr w:type="spellStart"/>
      <w:r>
        <w:t>not</w:t>
      </w:r>
      <w:proofErr w:type="spellEnd"/>
      <w:r>
        <w:t xml:space="preserve"> </w:t>
      </w:r>
      <w:proofErr w:type="spellStart"/>
      <w:r>
        <w:t>exceeding</w:t>
      </w:r>
      <w:proofErr w:type="spellEnd"/>
      <w:r>
        <w:t xml:space="preserve"> EUR 50 </w:t>
      </w:r>
      <w:proofErr w:type="spellStart"/>
      <w:r>
        <w:t>million</w:t>
      </w:r>
      <w:proofErr w:type="spellEnd"/>
      <w:r>
        <w:t xml:space="preserve"> </w:t>
      </w:r>
      <w:proofErr w:type="spellStart"/>
      <w:r>
        <w:t>and</w:t>
      </w:r>
      <w:proofErr w:type="spellEnd"/>
      <w:r>
        <w:t>/</w:t>
      </w:r>
      <w:proofErr w:type="spellStart"/>
      <w:r>
        <w:t>or</w:t>
      </w:r>
      <w:proofErr w:type="spellEnd"/>
      <w:r>
        <w:t xml:space="preserve"> </w:t>
      </w:r>
      <w:proofErr w:type="spellStart"/>
      <w:r>
        <w:t>an</w:t>
      </w:r>
      <w:proofErr w:type="spellEnd"/>
      <w:r>
        <w:t xml:space="preserve"> </w:t>
      </w:r>
      <w:proofErr w:type="spellStart"/>
      <w:r>
        <w:t>annual</w:t>
      </w:r>
      <w:proofErr w:type="spellEnd"/>
      <w:r>
        <w:t xml:space="preserve"> </w:t>
      </w:r>
      <w:proofErr w:type="spellStart"/>
      <w:r>
        <w:t>balance</w:t>
      </w:r>
      <w:proofErr w:type="spellEnd"/>
      <w:r>
        <w:t xml:space="preserve"> </w:t>
      </w:r>
      <w:proofErr w:type="spellStart"/>
      <w:r>
        <w:t>sheet</w:t>
      </w:r>
      <w:proofErr w:type="spellEnd"/>
      <w:r>
        <w:t xml:space="preserve"> </w:t>
      </w:r>
      <w:proofErr w:type="spellStart"/>
      <w:r>
        <w:t>total</w:t>
      </w:r>
      <w:proofErr w:type="spellEnd"/>
      <w:r>
        <w:t xml:space="preserve"> </w:t>
      </w:r>
      <w:proofErr w:type="spellStart"/>
      <w:r>
        <w:t>not</w:t>
      </w:r>
      <w:proofErr w:type="spellEnd"/>
      <w:r>
        <w:t xml:space="preserve"> </w:t>
      </w:r>
      <w:proofErr w:type="spellStart"/>
      <w:r>
        <w:t>exceeding</w:t>
      </w:r>
      <w:proofErr w:type="spellEnd"/>
      <w:r>
        <w:t xml:space="preserve"> EUR 43 </w:t>
      </w:r>
      <w:proofErr w:type="spellStart"/>
      <w:r>
        <w:t>million</w:t>
      </w:r>
      <w:proofErr w:type="spellEnd"/>
      <w:r>
        <w:t>.</w:t>
      </w:r>
    </w:p>
  </w:footnote>
  <w:footnote w:id="3">
    <w:p w:rsidR="007D6C3D" w:rsidRDefault="007D6C3D" w:rsidP="007D6C3D">
      <w:pPr>
        <w:pStyle w:val="FootnoteText"/>
        <w:jc w:val="both"/>
      </w:pPr>
      <w:r>
        <w:rPr>
          <w:rStyle w:val="FootnoteCharacters"/>
        </w:rPr>
        <w:footnoteRef/>
      </w:r>
      <w:r>
        <w:t xml:space="preserve"> ESPD </w:t>
      </w:r>
      <w:proofErr w:type="spellStart"/>
      <w:r>
        <w:t>may</w:t>
      </w:r>
      <w:proofErr w:type="spellEnd"/>
      <w:r>
        <w:t xml:space="preserve"> </w:t>
      </w:r>
      <w:proofErr w:type="spellStart"/>
      <w:r>
        <w:t>be</w:t>
      </w:r>
      <w:proofErr w:type="spellEnd"/>
      <w:r>
        <w:t xml:space="preserve"> </w:t>
      </w:r>
      <w:proofErr w:type="spellStart"/>
      <w:r>
        <w:t>prepared</w:t>
      </w:r>
      <w:proofErr w:type="spellEnd"/>
      <w:r>
        <w:t xml:space="preserve"> </w:t>
      </w:r>
      <w:proofErr w:type="spellStart"/>
      <w:r>
        <w:t>in</w:t>
      </w:r>
      <w:proofErr w:type="spellEnd"/>
      <w:r>
        <w:t xml:space="preserve"> </w:t>
      </w:r>
      <w:proofErr w:type="spellStart"/>
      <w:r>
        <w:t>one</w:t>
      </w:r>
      <w:proofErr w:type="spellEnd"/>
      <w:r>
        <w:t xml:space="preserve"> </w:t>
      </w:r>
      <w:proofErr w:type="spellStart"/>
      <w:r>
        <w:t>of</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ways</w:t>
      </w:r>
      <w:proofErr w:type="spellEnd"/>
      <w:r>
        <w:t>:</w:t>
      </w:r>
    </w:p>
    <w:p w:rsidR="007D6C3D" w:rsidRDefault="007D6C3D" w:rsidP="007D6C3D">
      <w:pPr>
        <w:pStyle w:val="FootnoteText"/>
        <w:keepNext/>
        <w:jc w:val="both"/>
      </w:pPr>
      <w:r>
        <w:t xml:space="preserve">1) </w:t>
      </w:r>
      <w:proofErr w:type="spellStart"/>
      <w:r>
        <w:t>by</w:t>
      </w:r>
      <w:proofErr w:type="spellEnd"/>
      <w:r>
        <w:t xml:space="preserve"> </w:t>
      </w:r>
      <w:proofErr w:type="spellStart"/>
      <w:r>
        <w:t>completing</w:t>
      </w:r>
      <w:proofErr w:type="spellEnd"/>
      <w:r>
        <w:t xml:space="preserve"> </w:t>
      </w:r>
      <w:proofErr w:type="spellStart"/>
      <w:r>
        <w:t>the</w:t>
      </w:r>
      <w:proofErr w:type="spellEnd"/>
      <w:r>
        <w:t xml:space="preserve"> </w:t>
      </w:r>
      <w:proofErr w:type="spellStart"/>
      <w:r>
        <w:t>standard</w:t>
      </w:r>
      <w:proofErr w:type="spellEnd"/>
      <w:r>
        <w:t xml:space="preserve"> </w:t>
      </w:r>
      <w:proofErr w:type="spellStart"/>
      <w:r>
        <w:t>form</w:t>
      </w:r>
      <w:proofErr w:type="spellEnd"/>
      <w:r>
        <w:t xml:space="preserve"> set </w:t>
      </w:r>
      <w:proofErr w:type="spellStart"/>
      <w:r>
        <w:t>out</w:t>
      </w:r>
      <w:proofErr w:type="spellEnd"/>
      <w:r>
        <w:t xml:space="preserve"> </w:t>
      </w:r>
      <w:proofErr w:type="spellStart"/>
      <w:r>
        <w:t>in</w:t>
      </w:r>
      <w:proofErr w:type="spellEnd"/>
      <w:r>
        <w:t xml:space="preserve"> </w:t>
      </w:r>
      <w:proofErr w:type="spellStart"/>
      <w:r>
        <w:t>Annex</w:t>
      </w:r>
      <w:proofErr w:type="spellEnd"/>
      <w:r>
        <w:t xml:space="preserve"> 2 to </w:t>
      </w:r>
      <w:proofErr w:type="spellStart"/>
      <w:r>
        <w:t>Commission</w:t>
      </w:r>
      <w:proofErr w:type="spellEnd"/>
      <w:r>
        <w:t xml:space="preserve"> </w:t>
      </w:r>
      <w:proofErr w:type="spellStart"/>
      <w:r>
        <w:t>Implementing</w:t>
      </w:r>
      <w:proofErr w:type="spellEnd"/>
      <w:r>
        <w:t xml:space="preserve"> </w:t>
      </w:r>
      <w:proofErr w:type="spellStart"/>
      <w:r>
        <w:t>Regulation</w:t>
      </w:r>
      <w:proofErr w:type="spellEnd"/>
      <w:r>
        <w:t xml:space="preserve"> (EU) 2016/7 </w:t>
      </w:r>
      <w:proofErr w:type="spellStart"/>
      <w:r>
        <w:t>of</w:t>
      </w:r>
      <w:proofErr w:type="spellEnd"/>
      <w:r>
        <w:t xml:space="preserve"> 5 </w:t>
      </w:r>
      <w:proofErr w:type="spellStart"/>
      <w:r>
        <w:t>January</w:t>
      </w:r>
      <w:proofErr w:type="spellEnd"/>
      <w:r>
        <w:t xml:space="preserve"> 2016 </w:t>
      </w:r>
      <w:proofErr w:type="spellStart"/>
      <w:r>
        <w:t>establishing</w:t>
      </w:r>
      <w:proofErr w:type="spellEnd"/>
      <w:r>
        <w:t xml:space="preserve"> </w:t>
      </w:r>
      <w:proofErr w:type="spellStart"/>
      <w:r>
        <w:t>the</w:t>
      </w:r>
      <w:proofErr w:type="spellEnd"/>
      <w:r>
        <w:t xml:space="preserve"> </w:t>
      </w:r>
      <w:proofErr w:type="spellStart"/>
      <w:r>
        <w:t>standard</w:t>
      </w:r>
      <w:proofErr w:type="spellEnd"/>
      <w:r>
        <w:t xml:space="preserve"> </w:t>
      </w:r>
      <w:proofErr w:type="spellStart"/>
      <w:r>
        <w:t>form</w:t>
      </w:r>
      <w:proofErr w:type="spellEnd"/>
      <w:r>
        <w:t xml:space="preserve"> </w:t>
      </w:r>
      <w:proofErr w:type="spellStart"/>
      <w:r>
        <w:t>for</w:t>
      </w:r>
      <w:proofErr w:type="spellEnd"/>
      <w:r>
        <w:t xml:space="preserve"> </w:t>
      </w:r>
      <w:proofErr w:type="spellStart"/>
      <w:r>
        <w:t>the</w:t>
      </w:r>
      <w:proofErr w:type="spellEnd"/>
      <w:r>
        <w:t xml:space="preserve"> </w:t>
      </w:r>
      <w:proofErr w:type="spellStart"/>
      <w:r>
        <w:t>European</w:t>
      </w:r>
      <w:proofErr w:type="spellEnd"/>
      <w:r>
        <w:t xml:space="preserve"> </w:t>
      </w:r>
      <w:proofErr w:type="spellStart"/>
      <w:r>
        <w:t>Single</w:t>
      </w:r>
      <w:proofErr w:type="spellEnd"/>
      <w:r>
        <w:t xml:space="preserve"> </w:t>
      </w:r>
      <w:proofErr w:type="spellStart"/>
      <w:r>
        <w:t>Procurement</w:t>
      </w:r>
      <w:proofErr w:type="spellEnd"/>
      <w:r>
        <w:t xml:space="preserve"> </w:t>
      </w:r>
      <w:proofErr w:type="spellStart"/>
      <w:r>
        <w:t>Document</w:t>
      </w:r>
      <w:proofErr w:type="spellEnd"/>
      <w:r>
        <w:t>;</w:t>
      </w:r>
    </w:p>
    <w:p w:rsidR="007D6C3D" w:rsidRDefault="007D6C3D" w:rsidP="007D6C3D">
      <w:pPr>
        <w:pStyle w:val="FootnoteText"/>
        <w:jc w:val="both"/>
      </w:pPr>
      <w:r>
        <w:t xml:space="preserve">2) </w:t>
      </w:r>
      <w:proofErr w:type="spellStart"/>
      <w:r>
        <w:t>by</w:t>
      </w:r>
      <w:proofErr w:type="spellEnd"/>
      <w:r>
        <w:t xml:space="preserve"> </w:t>
      </w:r>
      <w:proofErr w:type="spellStart"/>
      <w:r>
        <w:t>completing</w:t>
      </w:r>
      <w:proofErr w:type="spellEnd"/>
      <w:r>
        <w:t xml:space="preserve"> </w:t>
      </w:r>
      <w:proofErr w:type="spellStart"/>
      <w:r>
        <w:t>the</w:t>
      </w:r>
      <w:proofErr w:type="spellEnd"/>
      <w:r>
        <w:t xml:space="preserve"> ESPD </w:t>
      </w:r>
      <w:proofErr w:type="spellStart"/>
      <w:r>
        <w:t>form</w:t>
      </w:r>
      <w:proofErr w:type="spellEnd"/>
      <w:r>
        <w:t xml:space="preserve"> </w:t>
      </w:r>
      <w:proofErr w:type="spellStart"/>
      <w:r>
        <w:t>using</w:t>
      </w:r>
      <w:proofErr w:type="spellEnd"/>
      <w:r>
        <w:t xml:space="preserve"> </w:t>
      </w:r>
      <w:proofErr w:type="spellStart"/>
      <w:r>
        <w:t>the</w:t>
      </w:r>
      <w:proofErr w:type="spellEnd"/>
      <w:r>
        <w:t xml:space="preserve"> </w:t>
      </w:r>
      <w:proofErr w:type="spellStart"/>
      <w:r>
        <w:t>tool</w:t>
      </w:r>
      <w:proofErr w:type="spellEnd"/>
      <w:r>
        <w:t xml:space="preserve"> </w:t>
      </w:r>
      <w:proofErr w:type="spellStart"/>
      <w:r>
        <w:t>available</w:t>
      </w:r>
      <w:proofErr w:type="spellEnd"/>
      <w:r>
        <w:t xml:space="preserve"> </w:t>
      </w:r>
      <w:proofErr w:type="spellStart"/>
      <w:r>
        <w:t>on</w:t>
      </w:r>
      <w:proofErr w:type="spellEnd"/>
      <w:r>
        <w:t xml:space="preserve"> </w:t>
      </w:r>
      <w:proofErr w:type="spellStart"/>
      <w:r>
        <w:t>the</w:t>
      </w:r>
      <w:proofErr w:type="spellEnd"/>
      <w:r>
        <w:t xml:space="preserve"> </w:t>
      </w:r>
      <w:proofErr w:type="spellStart"/>
      <w:r>
        <w:t>website</w:t>
      </w:r>
      <w:proofErr w:type="spellEnd"/>
      <w:r>
        <w:t xml:space="preserve"> </w:t>
      </w:r>
      <w:proofErr w:type="spellStart"/>
      <w:r>
        <w:t>of</w:t>
      </w:r>
      <w:proofErr w:type="spellEnd"/>
      <w:r>
        <w:t xml:space="preserve"> </w:t>
      </w:r>
      <w:proofErr w:type="spellStart"/>
      <w:r>
        <w:t>the</w:t>
      </w:r>
      <w:proofErr w:type="spellEnd"/>
      <w:r>
        <w:t xml:space="preserve"> E-</w:t>
      </w:r>
      <w:proofErr w:type="spellStart"/>
      <w:r>
        <w:t>Tenders</w:t>
      </w:r>
      <w:proofErr w:type="spellEnd"/>
      <w:r>
        <w:t xml:space="preserve"> </w:t>
      </w:r>
      <w:proofErr w:type="spellStart"/>
      <w:r>
        <w:t>System</w:t>
      </w:r>
      <w:proofErr w:type="spellEnd"/>
      <w:r>
        <w:t xml:space="preserve"> </w:t>
      </w:r>
      <w:proofErr w:type="spellStart"/>
      <w:r>
        <w:t>at</w:t>
      </w:r>
      <w:proofErr w:type="spellEnd"/>
      <w:r>
        <w:t xml:space="preserve"> http://espd.eis.gov.lv.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B77" w:rsidRDefault="00DD4FDF">
    <w:pPr>
      <w:pStyle w:val="Header"/>
      <w:jc w:val="center"/>
    </w:pPr>
    <w:r>
      <w:fldChar w:fldCharType="begin"/>
    </w:r>
    <w:r>
      <w:instrText xml:space="preserve"> PAGE </w:instrText>
    </w:r>
    <w:r>
      <w:fldChar w:fldCharType="separate"/>
    </w:r>
    <w:r>
      <w:t>3</w:t>
    </w:r>
    <w:r>
      <w:fldChar w:fldCharType="end"/>
    </w:r>
  </w:p>
  <w:p w:rsidR="008A2B77" w:rsidRDefault="008A2B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B77" w:rsidRDefault="008A2B77">
    <w:pPr>
      <w:pStyle w:val="Header"/>
      <w:jc w:val="center"/>
    </w:pPr>
  </w:p>
  <w:p w:rsidR="008A2B77" w:rsidRDefault="008A2B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490140"/>
    <w:multiLevelType w:val="multilevel"/>
    <w:tmpl w:val="2F46D658"/>
    <w:lvl w:ilvl="0">
      <w:numFmt w:val="bullet"/>
      <w:pStyle w:val="Heading3"/>
      <w:lvlText w:val="-"/>
      <w:lvlJc w:val="left"/>
      <w:pPr>
        <w:tabs>
          <w:tab w:val="num" w:pos="1260"/>
        </w:tabs>
        <w:ind w:left="12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8B540AF"/>
    <w:multiLevelType w:val="multilevel"/>
    <w:tmpl w:val="555C371E"/>
    <w:lvl w:ilvl="0">
      <w:start w:val="1"/>
      <w:numFmt w:val="decimal"/>
      <w:pStyle w:val="Style1"/>
      <w:lvlText w:val="%1."/>
      <w:lvlJc w:val="left"/>
      <w:pPr>
        <w:tabs>
          <w:tab w:val="num" w:pos="0"/>
        </w:tabs>
        <w:ind w:left="360" w:hanging="360"/>
      </w:pPr>
      <w:rPr>
        <w:b/>
      </w:rPr>
    </w:lvl>
    <w:lvl w:ilvl="1">
      <w:start w:val="1"/>
      <w:numFmt w:val="decimal"/>
      <w:lvlText w:val="%1.%2."/>
      <w:lvlJc w:val="left"/>
      <w:pPr>
        <w:tabs>
          <w:tab w:val="num" w:pos="0"/>
        </w:tabs>
        <w:ind w:left="792" w:hanging="432"/>
      </w:pPr>
      <w:rPr>
        <w:sz w:val="24"/>
        <w:szCs w:val="24"/>
      </w:rPr>
    </w:lvl>
    <w:lvl w:ilvl="2">
      <w:start w:val="1"/>
      <w:numFmt w:val="decimal"/>
      <w:lvlText w:val="%1.%2.%3."/>
      <w:lvlJc w:val="left"/>
      <w:pPr>
        <w:tabs>
          <w:tab w:val="num" w:pos="0"/>
        </w:tabs>
        <w:ind w:left="1355" w:hanging="504"/>
      </w:pPr>
      <w:rPr>
        <w:b w:val="0"/>
        <w:sz w:val="24"/>
        <w:szCs w:val="24"/>
      </w:rPr>
    </w:lvl>
    <w:lvl w:ilvl="3">
      <w:start w:val="1"/>
      <w:numFmt w:val="decimal"/>
      <w:lvlText w:val="%1.%2.%3.%4."/>
      <w:lvlJc w:val="left"/>
      <w:pPr>
        <w:tabs>
          <w:tab w:val="num" w:pos="0"/>
        </w:tabs>
        <w:ind w:left="220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6B113DA6"/>
    <w:multiLevelType w:val="multilevel"/>
    <w:tmpl w:val="888CE618"/>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9"/>
  <w:autoHyphenation/>
  <w:hyphenationZone w:val="0"/>
  <w:characterSpacingControl w:val="doNotCompres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2B77"/>
    <w:rsid w:val="00194E41"/>
    <w:rsid w:val="00395B9F"/>
    <w:rsid w:val="007D6C3D"/>
    <w:rsid w:val="008A2B77"/>
    <w:rsid w:val="0097573C"/>
    <w:rsid w:val="00AC3706"/>
    <w:rsid w:val="00DD4F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7B56E6-5EA1-4C06-8F2C-AC9BBFBF2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oto Serif CJK SC" w:hAnsi="Liberation Serif" w:cs="Lohit Devanagari"/>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rFonts w:ascii="Times New Roman" w:eastAsia="Times New Roman" w:hAnsi="Times New Roman" w:cs="Times New Roman"/>
      <w:sz w:val="24"/>
      <w:szCs w:val="24"/>
      <w:lang w:eastAsia="zh-CN"/>
    </w:rPr>
  </w:style>
  <w:style w:type="paragraph" w:styleId="Heading1">
    <w:name w:val="heading 1"/>
    <w:basedOn w:val="Normal"/>
    <w:next w:val="Normal"/>
    <w:uiPriority w:val="9"/>
    <w:qFormat/>
    <w:pPr>
      <w:keepNext/>
      <w:numPr>
        <w:numId w:val="1"/>
      </w:numPr>
      <w:spacing w:before="240" w:after="60"/>
      <w:outlineLvl w:val="0"/>
    </w:pPr>
    <w:rPr>
      <w:rFonts w:ascii="Calibri Light" w:hAnsi="Calibri Light"/>
      <w:b/>
      <w:bCs/>
      <w:kern w:val="2"/>
      <w:sz w:val="32"/>
      <w:szCs w:val="32"/>
    </w:rPr>
  </w:style>
  <w:style w:type="paragraph" w:styleId="Heading2">
    <w:name w:val="heading 2"/>
    <w:basedOn w:val="Normal"/>
    <w:next w:val="Normal"/>
    <w:uiPriority w:val="9"/>
    <w:semiHidden/>
    <w:unhideWhenUsed/>
    <w:qFormat/>
    <w:pPr>
      <w:keepNext/>
      <w:numPr>
        <w:ilvl w:val="1"/>
        <w:numId w:val="1"/>
      </w:numPr>
      <w:spacing w:before="240" w:after="60"/>
      <w:outlineLvl w:val="1"/>
    </w:pPr>
    <w:rPr>
      <w:rFonts w:ascii="Calibri Light" w:hAnsi="Calibri Light" w:cs="DokChampa"/>
      <w:b/>
      <w:bCs/>
      <w:i/>
      <w:iCs/>
      <w:sz w:val="28"/>
      <w:szCs w:val="28"/>
    </w:rPr>
  </w:style>
  <w:style w:type="paragraph" w:styleId="Heading3">
    <w:name w:val="heading 3"/>
    <w:basedOn w:val="Normal"/>
    <w:next w:val="Normal"/>
    <w:uiPriority w:val="9"/>
    <w:semiHidden/>
    <w:unhideWhenUsed/>
    <w:qFormat/>
    <w:pPr>
      <w:keepNext/>
      <w:numPr>
        <w:numId w:val="3"/>
      </w:numPr>
      <w:jc w:val="center"/>
      <w:outlineLvl w:val="2"/>
    </w:pPr>
    <w:rPr>
      <w:sz w:val="28"/>
      <w:szCs w:val="20"/>
    </w:rPr>
  </w:style>
  <w:style w:type="paragraph" w:styleId="Heading4">
    <w:name w:val="heading 4"/>
    <w:basedOn w:val="Normal"/>
    <w:next w:val="Normal"/>
    <w:uiPriority w:val="9"/>
    <w:semiHidden/>
    <w:unhideWhenUsed/>
    <w:qFormat/>
    <w:pPr>
      <w:keepNext/>
      <w:numPr>
        <w:ilvl w:val="3"/>
        <w:numId w:val="1"/>
      </w:numPr>
      <w:spacing w:before="240" w:after="60"/>
      <w:outlineLvl w:val="3"/>
    </w:pPr>
    <w:rPr>
      <w:rFonts w:ascii="Calibri" w:hAnsi="Calibri" w:cs="DokChampa"/>
      <w:b/>
      <w:bCs/>
      <w:sz w:val="28"/>
      <w:szCs w:val="28"/>
    </w:rPr>
  </w:style>
  <w:style w:type="paragraph" w:styleId="Heading7">
    <w:name w:val="heading 7"/>
    <w:basedOn w:val="Normal"/>
    <w:next w:val="Normal"/>
    <w:qFormat/>
    <w:pPr>
      <w:keepNext/>
      <w:tabs>
        <w:tab w:val="num" w:pos="1260"/>
      </w:tabs>
      <w:ind w:left="1260" w:hanging="360"/>
      <w:jc w:val="right"/>
      <w:outlineLvl w:val="6"/>
    </w:pPr>
    <w:rPr>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qFormat/>
    <w:rPr>
      <w:rFonts w:ascii="Wingdings" w:hAnsi="Wingdings" w:cs="Wingdings"/>
    </w:rPr>
  </w:style>
  <w:style w:type="character" w:customStyle="1" w:styleId="WW8Num3z0">
    <w:name w:val="WW8Num3z0"/>
    <w:qFormat/>
    <w:rPr>
      <w:rFonts w:ascii="Times New Roman" w:hAnsi="Times New Roman" w:cs="Times New Roman"/>
      <w:sz w:val="24"/>
      <w:szCs w:val="24"/>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Times New Roman" w:hAnsi="Times New Roman" w:cs="Times New Roman"/>
      <w:color w:val="000000"/>
      <w:sz w:val="28"/>
      <w:szCs w:val="28"/>
      <w:lang w:val="lv-LV"/>
    </w:rPr>
  </w:style>
  <w:style w:type="character" w:customStyle="1" w:styleId="WW8Num4z2">
    <w:name w:val="WW8Num4z2"/>
    <w:qFormat/>
    <w:rPr>
      <w:rFonts w:ascii="Times New Roman" w:hAnsi="Times New Roman" w:cs="Times New Roman"/>
      <w:strike w:val="0"/>
      <w:dstrike w:val="0"/>
      <w:color w:val="000000"/>
      <w:sz w:val="28"/>
      <w:szCs w:val="28"/>
      <w:lang w:val="lv-LV"/>
    </w:rPr>
  </w:style>
  <w:style w:type="character" w:customStyle="1" w:styleId="WW8Num4z3">
    <w:name w:val="WW8Num4z3"/>
    <w:qFormat/>
    <w:rPr>
      <w:rFonts w:ascii="Times New Roman" w:hAnsi="Times New Roman" w:cs="Times New Roman"/>
      <w:sz w:val="28"/>
      <w:szCs w:val="28"/>
      <w:lang w:val="lv-LV"/>
    </w:rPr>
  </w:style>
  <w:style w:type="character" w:customStyle="1" w:styleId="WW8Num5z1">
    <w:name w:val="WW8Num5z1"/>
    <w:qFormat/>
    <w:rPr>
      <w:b w:val="0"/>
      <w:bCs/>
      <w:color w:val="000000"/>
    </w:rPr>
  </w:style>
  <w:style w:type="character" w:customStyle="1" w:styleId="WW8Num6z1">
    <w:name w:val="WW8Num6z1"/>
    <w:qFormat/>
    <w:rPr>
      <w:rFonts w:ascii="Times New Roman" w:hAnsi="Times New Roman" w:cs="Times New Roman"/>
      <w:b w:val="0"/>
      <w:color w:val="000000"/>
      <w:sz w:val="28"/>
      <w:szCs w:val="28"/>
      <w:lang w:val="lv-LV" w:eastAsia="en-US"/>
    </w:rPr>
  </w:style>
  <w:style w:type="character" w:customStyle="1" w:styleId="WW8Num6z2">
    <w:name w:val="WW8Num6z2"/>
    <w:qFormat/>
    <w:rPr>
      <w:rFonts w:ascii="Times New Roman" w:hAnsi="Times New Roman" w:cs="Times New Roman"/>
      <w:i w:val="0"/>
      <w:sz w:val="28"/>
      <w:szCs w:val="28"/>
      <w:shd w:val="clear" w:color="auto" w:fill="FFFFFF"/>
      <w:lang w:val="lv-LV" w:eastAsia="en-US"/>
    </w:rPr>
  </w:style>
  <w:style w:type="character" w:customStyle="1" w:styleId="WW8Num7z0">
    <w:name w:val="WW8Num7z0"/>
    <w:qFormat/>
    <w:rPr>
      <w:rFonts w:ascii="Times New Roman" w:hAnsi="Times New Roman" w:cs="Times New Roman"/>
      <w:sz w:val="28"/>
      <w:szCs w:val="28"/>
    </w:rPr>
  </w:style>
  <w:style w:type="character" w:customStyle="1" w:styleId="WW8Num8z1">
    <w:name w:val="WW8Num8z1"/>
    <w:qFormat/>
    <w:rPr>
      <w:sz w:val="28"/>
      <w:szCs w:val="28"/>
    </w:rPr>
  </w:style>
  <w:style w:type="character" w:customStyle="1" w:styleId="WW8Num9z0">
    <w:name w:val="WW8Num9z0"/>
    <w:qFormat/>
    <w:rPr>
      <w:sz w:val="24"/>
      <w:szCs w:val="24"/>
    </w:rPr>
  </w:style>
  <w:style w:type="character" w:customStyle="1" w:styleId="WW8Num10z0">
    <w:name w:val="WW8Num10z0"/>
    <w:qFormat/>
  </w:style>
  <w:style w:type="character" w:customStyle="1" w:styleId="WW8Num11z0">
    <w:name w:val="WW8Num11z0"/>
    <w:qFormat/>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6z1">
    <w:name w:val="WW8Num16z1"/>
    <w:qFormat/>
    <w:rPr>
      <w:rFonts w:ascii="Times New Roman" w:hAnsi="Times New Roman" w:cs="Times New Roman"/>
      <w:sz w:val="24"/>
      <w:szCs w:val="24"/>
    </w:rPr>
  </w:style>
  <w:style w:type="character" w:customStyle="1" w:styleId="WW8Num17z0">
    <w:name w:val="WW8Num17z0"/>
    <w:qFormat/>
  </w:style>
  <w:style w:type="character" w:customStyle="1" w:styleId="WW8Num17z1">
    <w:name w:val="WW8Num17z1"/>
    <w:qFormat/>
    <w:rPr>
      <w:color w:val="000000"/>
    </w:rPr>
  </w:style>
  <w:style w:type="character" w:customStyle="1" w:styleId="WW8Num17z2">
    <w:name w:val="WW8Num17z2"/>
    <w:qFormat/>
    <w:rPr>
      <w:strike w:val="0"/>
      <w:dstrike w:val="0"/>
      <w:color w:val="000000"/>
    </w:rPr>
  </w:style>
  <w:style w:type="character" w:customStyle="1" w:styleId="WW8Num18z0">
    <w:name w:val="WW8Num18z0"/>
    <w:qFormat/>
  </w:style>
  <w:style w:type="character" w:customStyle="1" w:styleId="WW8Num19z0">
    <w:name w:val="WW8Num19z0"/>
    <w:qFormat/>
    <w:rPr>
      <w:rFonts w:ascii="Times New Roman" w:eastAsia="Times New Roman" w:hAnsi="Times New Roman" w:cs="Times New Roman"/>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style>
  <w:style w:type="character" w:customStyle="1" w:styleId="WW8Num21z0">
    <w:name w:val="WW8Num21z0"/>
    <w:qFormat/>
  </w:style>
  <w:style w:type="character" w:customStyle="1" w:styleId="WW8Num22z0">
    <w:name w:val="WW8Num22z0"/>
    <w:qFormat/>
    <w:rPr>
      <w:b w:val="0"/>
    </w:rPr>
  </w:style>
  <w:style w:type="character" w:customStyle="1" w:styleId="WW8Num23z0">
    <w:name w:val="WW8Num23z0"/>
    <w:qFormat/>
    <w:rPr>
      <w:b/>
    </w:rPr>
  </w:style>
  <w:style w:type="character" w:customStyle="1" w:styleId="WW8Num23z1">
    <w:name w:val="WW8Num23z1"/>
    <w:qFormat/>
  </w:style>
  <w:style w:type="character" w:customStyle="1" w:styleId="WW8Num24z0">
    <w:name w:val="WW8Num24z0"/>
    <w:qFormat/>
  </w:style>
  <w:style w:type="character" w:customStyle="1" w:styleId="WW8Num25z0">
    <w:name w:val="WW8Num25z0"/>
    <w:qFormat/>
  </w:style>
  <w:style w:type="character" w:customStyle="1" w:styleId="WW8Num26z0">
    <w:name w:val="WW8Num26z0"/>
    <w:qFormat/>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b/>
    </w:rPr>
  </w:style>
  <w:style w:type="character" w:customStyle="1" w:styleId="WW8Num28z1">
    <w:name w:val="WW8Num28z1"/>
    <w:qFormat/>
    <w:rPr>
      <w:sz w:val="24"/>
      <w:szCs w:val="24"/>
    </w:rPr>
  </w:style>
  <w:style w:type="character" w:customStyle="1" w:styleId="WW8Num28z2">
    <w:name w:val="WW8Num28z2"/>
    <w:qFormat/>
    <w:rPr>
      <w:b w:val="0"/>
      <w:sz w:val="24"/>
      <w:szCs w:val="24"/>
    </w:rPr>
  </w:style>
  <w:style w:type="character" w:customStyle="1" w:styleId="WW8Num28z3">
    <w:name w:val="WW8Num28z3"/>
    <w:qFormat/>
    <w:rPr>
      <w:b w:val="0"/>
    </w:rPr>
  </w:style>
  <w:style w:type="character" w:customStyle="1" w:styleId="WW8Num29z0">
    <w:name w:val="WW8Num29z0"/>
    <w:qFormat/>
  </w:style>
  <w:style w:type="character" w:customStyle="1" w:styleId="WW8Num29z1">
    <w:name w:val="WW8Num29z1"/>
    <w:qFormat/>
    <w:rPr>
      <w:color w:val="000000"/>
    </w:rPr>
  </w:style>
  <w:style w:type="character" w:customStyle="1" w:styleId="WW8Num30z0">
    <w:name w:val="WW8Num30z0"/>
    <w:qFormat/>
    <w:rPr>
      <w:rFonts w:ascii="Symbol" w:hAnsi="Symbol" w:cs="Symbol"/>
      <w:sz w:val="20"/>
    </w:rPr>
  </w:style>
  <w:style w:type="character" w:customStyle="1" w:styleId="WW8Num30z1">
    <w:name w:val="WW8Num30z1"/>
    <w:qFormat/>
    <w:rPr>
      <w:rFonts w:ascii="Courier New" w:hAnsi="Courier New" w:cs="Courier New"/>
      <w:sz w:val="20"/>
    </w:rPr>
  </w:style>
  <w:style w:type="character" w:customStyle="1" w:styleId="WW8Num30z2">
    <w:name w:val="WW8Num30z2"/>
    <w:qFormat/>
    <w:rPr>
      <w:rFonts w:ascii="Wingdings" w:hAnsi="Wingdings" w:cs="Wingdings"/>
      <w:sz w:val="20"/>
    </w:rPr>
  </w:style>
  <w:style w:type="character" w:customStyle="1" w:styleId="WW8Num31z0">
    <w:name w:val="WW8Num31z0"/>
    <w:qFormat/>
  </w:style>
  <w:style w:type="character" w:customStyle="1" w:styleId="WW8Num32z0">
    <w:name w:val="WW8Num32z0"/>
    <w:qFormat/>
  </w:style>
  <w:style w:type="character" w:customStyle="1" w:styleId="WW8Num33z0">
    <w:name w:val="WW8Num33z0"/>
    <w:qFormat/>
  </w:style>
  <w:style w:type="character" w:customStyle="1" w:styleId="WW8Num34z0">
    <w:name w:val="WW8Num34z0"/>
    <w:qFormat/>
  </w:style>
  <w:style w:type="character" w:customStyle="1" w:styleId="WW8Num35z0">
    <w:name w:val="WW8Num35z0"/>
    <w:qFormat/>
    <w:rPr>
      <w:sz w:val="24"/>
    </w:rPr>
  </w:style>
  <w:style w:type="character" w:customStyle="1" w:styleId="WW8Num36z0">
    <w:name w:val="WW8Num36z0"/>
    <w:qFormat/>
  </w:style>
  <w:style w:type="character" w:customStyle="1" w:styleId="WW8Num37z0">
    <w:name w:val="WW8Num37z0"/>
    <w:qFormat/>
    <w:rPr>
      <w:b/>
    </w:rPr>
  </w:style>
  <w:style w:type="character" w:customStyle="1" w:styleId="WW8Num37z1">
    <w:name w:val="WW8Num37z1"/>
    <w:qFormat/>
  </w:style>
  <w:style w:type="character" w:customStyle="1" w:styleId="WW8Num38z0">
    <w:name w:val="WW8Num38z0"/>
    <w:qFormat/>
    <w:rPr>
      <w:b/>
      <w:color w:val="000000"/>
    </w:rPr>
  </w:style>
  <w:style w:type="character" w:customStyle="1" w:styleId="WW8Num39z0">
    <w:name w:val="WW8Num39z0"/>
    <w:qFormat/>
  </w:style>
  <w:style w:type="character" w:customStyle="1" w:styleId="WW8Num40z0">
    <w:name w:val="WW8Num40z0"/>
    <w:qFormat/>
  </w:style>
  <w:style w:type="character" w:customStyle="1" w:styleId="WW8Num41z0">
    <w:name w:val="WW8Num41z0"/>
    <w:qFormat/>
    <w:rPr>
      <w:rFonts w:ascii="Times New Roman" w:eastAsia="Times New Roman" w:hAnsi="Times New Roman" w:cs="Times New Roman"/>
    </w:rPr>
  </w:style>
  <w:style w:type="character" w:customStyle="1" w:styleId="WW8Num41z1">
    <w:name w:val="WW8Num41z1"/>
    <w:qFormat/>
    <w:rPr>
      <w:rFonts w:ascii="Courier New" w:hAnsi="Courier New" w:cs="Courier New"/>
    </w:rPr>
  </w:style>
  <w:style w:type="character" w:customStyle="1" w:styleId="WW8Num41z2">
    <w:name w:val="WW8Num41z2"/>
    <w:qFormat/>
    <w:rPr>
      <w:rFonts w:ascii="Wingdings" w:hAnsi="Wingdings" w:cs="Wingdings"/>
    </w:rPr>
  </w:style>
  <w:style w:type="character" w:customStyle="1" w:styleId="WW8Num41z3">
    <w:name w:val="WW8Num41z3"/>
    <w:qFormat/>
    <w:rPr>
      <w:rFonts w:ascii="Symbol" w:hAnsi="Symbol" w:cs="Symbol"/>
    </w:rPr>
  </w:style>
  <w:style w:type="character" w:customStyle="1" w:styleId="WW8Num42z0">
    <w:name w:val="WW8Num42z0"/>
    <w:qFormat/>
  </w:style>
  <w:style w:type="character" w:customStyle="1" w:styleId="WW8Num43z0">
    <w:name w:val="WW8Num43z0"/>
    <w:qFormat/>
    <w:rPr>
      <w:b/>
    </w:rPr>
  </w:style>
  <w:style w:type="character" w:customStyle="1" w:styleId="WW8Num43z1">
    <w:name w:val="WW8Num43z1"/>
    <w:qFormat/>
    <w:rPr>
      <w:b w:val="0"/>
      <w:sz w:val="24"/>
      <w:szCs w:val="24"/>
    </w:rPr>
  </w:style>
  <w:style w:type="character" w:customStyle="1" w:styleId="WW8Num43z2">
    <w:name w:val="WW8Num43z2"/>
    <w:qFormat/>
    <w:rPr>
      <w:b w:val="0"/>
      <w:i w:val="0"/>
    </w:rPr>
  </w:style>
  <w:style w:type="character" w:customStyle="1" w:styleId="WW8Num43z3">
    <w:name w:val="WW8Num43z3"/>
    <w:qFormat/>
    <w:rPr>
      <w:b w:val="0"/>
    </w:rPr>
  </w:style>
  <w:style w:type="character" w:customStyle="1" w:styleId="WW8Num44z0">
    <w:name w:val="WW8Num44z0"/>
    <w:qFormat/>
  </w:style>
  <w:style w:type="character" w:customStyle="1" w:styleId="WW8Num45z0">
    <w:name w:val="WW8Num45z0"/>
    <w:qFormat/>
  </w:style>
  <w:style w:type="character" w:customStyle="1" w:styleId="WW8Num46z0">
    <w:name w:val="WW8Num46z0"/>
    <w:qFormat/>
  </w:style>
  <w:style w:type="character" w:customStyle="1" w:styleId="WW8Num47z0">
    <w:name w:val="WW8Num47z0"/>
    <w:qFormat/>
  </w:style>
  <w:style w:type="character" w:customStyle="1" w:styleId="WW8Num47z1">
    <w:name w:val="WW8Num47z1"/>
    <w:qFormat/>
    <w:rPr>
      <w:sz w:val="28"/>
      <w:szCs w:val="28"/>
    </w:rPr>
  </w:style>
  <w:style w:type="character" w:customStyle="1" w:styleId="WW8Num47z2">
    <w:name w:val="WW8Num47z2"/>
    <w:qFormat/>
    <w:rPr>
      <w:color w:val="000000"/>
      <w:sz w:val="28"/>
      <w:szCs w:val="28"/>
    </w:rPr>
  </w:style>
  <w:style w:type="character" w:customStyle="1" w:styleId="WW8Num48z0">
    <w:name w:val="WW8Num48z0"/>
    <w:qFormat/>
    <w:rPr>
      <w:rFonts w:eastAsia="Times New Roman"/>
    </w:rPr>
  </w:style>
  <w:style w:type="character" w:customStyle="1" w:styleId="WW8Num49z0">
    <w:name w:val="WW8Num49z0"/>
    <w:qFormat/>
    <w:rPr>
      <w:rFonts w:ascii="Times New Roman" w:hAnsi="Times New Roman" w:cs="Times New Roman"/>
      <w:i w:val="0"/>
      <w:sz w:val="24"/>
      <w:szCs w:val="24"/>
    </w:rPr>
  </w:style>
  <w:style w:type="character" w:customStyle="1" w:styleId="WW8Num49z1">
    <w:name w:val="WW8Num49z1"/>
    <w:qFormat/>
    <w:rPr>
      <w:rFonts w:cs="Times New Roman"/>
      <w:b w:val="0"/>
    </w:rPr>
  </w:style>
  <w:style w:type="character" w:customStyle="1" w:styleId="WW8Num49z3">
    <w:name w:val="WW8Num49z3"/>
    <w:qFormat/>
    <w:rPr>
      <w:rFonts w:cs="Times New Roman"/>
    </w:rPr>
  </w:style>
  <w:style w:type="character" w:customStyle="1" w:styleId="WW8Num50z0">
    <w:name w:val="WW8Num50z0"/>
    <w:qFormat/>
  </w:style>
  <w:style w:type="character" w:styleId="PageNumber">
    <w:name w:val="page number"/>
    <w:basedOn w:val="DefaultParagraphFont"/>
  </w:style>
  <w:style w:type="character" w:styleId="Hyperlink">
    <w:name w:val="Hyperlink"/>
    <w:rPr>
      <w:color w:val="0000FF"/>
      <w:u w:val="single"/>
    </w:rPr>
  </w:style>
  <w:style w:type="character" w:customStyle="1" w:styleId="FootnoteCharacters">
    <w:name w:val="Footnote Characters"/>
    <w:qFormat/>
    <w:rPr>
      <w:vertAlign w:val="superscript"/>
    </w:rPr>
  </w:style>
  <w:style w:type="character" w:customStyle="1" w:styleId="FootnoteReference1">
    <w:name w:val="Footnote Reference1"/>
    <w:qFormat/>
    <w:rPr>
      <w:vertAlign w:val="superscript"/>
    </w:rPr>
  </w:style>
  <w:style w:type="character" w:customStyle="1" w:styleId="FootnoteTextChar">
    <w:name w:val="Footnote Text Char"/>
    <w:qFormat/>
    <w:rPr>
      <w:lang w:eastAsia="zh-CN"/>
    </w:rPr>
  </w:style>
  <w:style w:type="character" w:customStyle="1" w:styleId="HeaderChar">
    <w:name w:val="Header Char"/>
    <w:qFormat/>
    <w:rPr>
      <w:sz w:val="24"/>
      <w:szCs w:val="24"/>
    </w:rPr>
  </w:style>
  <w:style w:type="character" w:customStyle="1" w:styleId="hps">
    <w:name w:val="hps"/>
    <w:basedOn w:val="DefaultParagraphFont"/>
    <w:qFormat/>
  </w:style>
  <w:style w:type="character" w:customStyle="1" w:styleId="BalloonTextChar">
    <w:name w:val="Balloon Text Char"/>
    <w:qFormat/>
    <w:rPr>
      <w:rFonts w:ascii="Segoe UI" w:hAnsi="Segoe UI" w:cs="Segoe UI"/>
      <w:sz w:val="18"/>
      <w:szCs w:val="18"/>
    </w:rPr>
  </w:style>
  <w:style w:type="character" w:customStyle="1" w:styleId="BodyTextIndent3Char">
    <w:name w:val="Body Text Indent 3 Char"/>
    <w:qFormat/>
    <w:rPr>
      <w:sz w:val="16"/>
      <w:szCs w:val="16"/>
      <w:lang w:val="lv-LV"/>
    </w:rPr>
  </w:style>
  <w:style w:type="character" w:customStyle="1" w:styleId="BodyTextChar">
    <w:name w:val="Body Text Char"/>
    <w:qFormat/>
    <w:rPr>
      <w:sz w:val="24"/>
      <w:szCs w:val="24"/>
      <w:lang w:val="lv-LV"/>
    </w:rPr>
  </w:style>
  <w:style w:type="character" w:customStyle="1" w:styleId="BodyTextIndentChar">
    <w:name w:val="Body Text Indent Char"/>
    <w:qFormat/>
    <w:rPr>
      <w:sz w:val="24"/>
      <w:szCs w:val="24"/>
      <w:lang w:val="ru-RU"/>
    </w:rPr>
  </w:style>
  <w:style w:type="character" w:customStyle="1" w:styleId="FontStyle21">
    <w:name w:val="Font Style21"/>
    <w:qFormat/>
    <w:rPr>
      <w:rFonts w:ascii="Times New Roman" w:hAnsi="Times New Roman" w:cs="Times New Roman"/>
      <w:b/>
      <w:sz w:val="22"/>
    </w:rPr>
  </w:style>
  <w:style w:type="character" w:customStyle="1" w:styleId="FooterChar">
    <w:name w:val="Footer Char"/>
    <w:qFormat/>
    <w:rPr>
      <w:sz w:val="24"/>
      <w:szCs w:val="24"/>
      <w:lang w:val="lv-LV"/>
    </w:rPr>
  </w:style>
  <w:style w:type="character" w:customStyle="1" w:styleId="Heading3Char">
    <w:name w:val="Heading 3 Char"/>
    <w:qFormat/>
    <w:rPr>
      <w:sz w:val="28"/>
      <w:lang w:val="lv-LV" w:eastAsia="zh-CN"/>
    </w:rPr>
  </w:style>
  <w:style w:type="character" w:customStyle="1" w:styleId="Heading7Char">
    <w:name w:val="Heading 7 Char"/>
    <w:qFormat/>
    <w:rPr>
      <w:sz w:val="28"/>
      <w:lang w:val="lv-LV" w:eastAsia="zh-CN"/>
    </w:rPr>
  </w:style>
  <w:style w:type="character" w:customStyle="1" w:styleId="WW8Num1z0">
    <w:name w:val="WW8Num1z0"/>
    <w:qFormat/>
    <w:rPr>
      <w:rFonts w:ascii="Wingdings" w:hAnsi="Wingdings" w:cs="Wingdings"/>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DefaultParagraphFont1">
    <w:name w:val="Default Paragraph Font1"/>
    <w:qFormat/>
  </w:style>
  <w:style w:type="character" w:customStyle="1" w:styleId="WW8Num4z0">
    <w:name w:val="WW8Num4z0"/>
    <w:qFormat/>
    <w:rPr>
      <w:rFonts w:ascii="Wingdings" w:hAnsi="Wingdings" w:cs="Wingdings"/>
      <w:sz w:val="24"/>
      <w:szCs w:val="24"/>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Arial" w:eastAsia="Times New Roman" w:hAnsi="Arial" w:cs="Arial"/>
      <w:sz w:val="18"/>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DefaultParagraphFont">
    <w:name w:val="WW-Default Paragraph Font"/>
    <w:qFormat/>
  </w:style>
  <w:style w:type="character" w:customStyle="1" w:styleId="WW-DefaultParagraphFont1">
    <w:name w:val="WW-Default Paragraph Font1"/>
    <w:qFormat/>
  </w:style>
  <w:style w:type="character" w:customStyle="1" w:styleId="shorttext">
    <w:name w:val="short_text"/>
    <w:qFormat/>
  </w:style>
  <w:style w:type="character" w:customStyle="1" w:styleId="CommentReference1">
    <w:name w:val="Comment Reference1"/>
    <w:qFormat/>
    <w:rPr>
      <w:sz w:val="16"/>
      <w:szCs w:val="16"/>
    </w:rPr>
  </w:style>
  <w:style w:type="character" w:customStyle="1" w:styleId="hpsalt-edited">
    <w:name w:val="hps alt-edited"/>
    <w:qFormat/>
  </w:style>
  <w:style w:type="character" w:customStyle="1" w:styleId="c8">
    <w:name w:val="c8"/>
    <w:qFormat/>
  </w:style>
  <w:style w:type="character" w:styleId="Emphasis">
    <w:name w:val="Emphasis"/>
    <w:qFormat/>
    <w:rPr>
      <w:i/>
      <w:iCs/>
    </w:rPr>
  </w:style>
  <w:style w:type="character" w:customStyle="1" w:styleId="mw-headline2">
    <w:name w:val="mw-headline2"/>
    <w:qFormat/>
  </w:style>
  <w:style w:type="character" w:styleId="Strong">
    <w:name w:val="Strong"/>
    <w:qFormat/>
    <w:rPr>
      <w:b/>
      <w:bCs/>
    </w:rPr>
  </w:style>
  <w:style w:type="character" w:customStyle="1" w:styleId="st1">
    <w:name w:val="st1"/>
    <w:qFormat/>
  </w:style>
  <w:style w:type="character" w:customStyle="1" w:styleId="nobr1">
    <w:name w:val="nobr1"/>
    <w:qFormat/>
  </w:style>
  <w:style w:type="character" w:customStyle="1" w:styleId="apple-converted-space">
    <w:name w:val="apple-converted-space"/>
    <w:qFormat/>
  </w:style>
  <w:style w:type="character" w:styleId="CommentReference">
    <w:name w:val="annotation reference"/>
    <w:qFormat/>
    <w:rPr>
      <w:sz w:val="16"/>
      <w:szCs w:val="16"/>
    </w:rPr>
  </w:style>
  <w:style w:type="character" w:customStyle="1" w:styleId="CommentTextChar">
    <w:name w:val="Comment Text Char"/>
    <w:qFormat/>
    <w:rPr>
      <w:lang w:val="lv-LV" w:eastAsia="zh-CN"/>
    </w:rPr>
  </w:style>
  <w:style w:type="character" w:customStyle="1" w:styleId="CommentSubjectChar">
    <w:name w:val="Comment Subject Char"/>
    <w:qFormat/>
    <w:rPr>
      <w:b/>
      <w:bCs/>
      <w:lang w:val="lv-LV" w:eastAsia="zh-CN"/>
    </w:rPr>
  </w:style>
  <w:style w:type="character" w:customStyle="1" w:styleId="HTMLPreformattedChar">
    <w:name w:val="HTML Preformatted Char"/>
    <w:qFormat/>
    <w:rPr>
      <w:rFonts w:ascii="Courier New" w:hAnsi="Courier New" w:cs="Courier New"/>
      <w:lang w:val="lv-LV" w:eastAsia="zh-CN"/>
    </w:rPr>
  </w:style>
  <w:style w:type="character" w:customStyle="1" w:styleId="BodyTextIndent2Char">
    <w:name w:val="Body Text Indent 2 Char"/>
    <w:qFormat/>
    <w:rPr>
      <w:sz w:val="24"/>
      <w:szCs w:val="24"/>
      <w:lang w:val="lv-LV"/>
    </w:rPr>
  </w:style>
  <w:style w:type="character" w:customStyle="1" w:styleId="Heading1Char">
    <w:name w:val="Heading 1 Char"/>
    <w:qFormat/>
    <w:rPr>
      <w:rFonts w:ascii="Calibri Light" w:eastAsia="Times New Roman" w:hAnsi="Calibri Light" w:cs="Times New Roman"/>
      <w:b/>
      <w:bCs/>
      <w:kern w:val="2"/>
      <w:sz w:val="32"/>
      <w:szCs w:val="32"/>
    </w:rPr>
  </w:style>
  <w:style w:type="character" w:customStyle="1" w:styleId="ListParagraphChar">
    <w:name w:val="List Paragraph Char"/>
    <w:qFormat/>
    <w:rPr>
      <w:sz w:val="24"/>
      <w:szCs w:val="24"/>
    </w:rPr>
  </w:style>
  <w:style w:type="character" w:customStyle="1" w:styleId="TitleChar">
    <w:name w:val="Title Char"/>
    <w:qFormat/>
    <w:rPr>
      <w:rFonts w:ascii="Calibri Light" w:eastAsia="Times New Roman" w:hAnsi="Calibri Light" w:cs="Times New Roman"/>
      <w:b/>
      <w:bCs/>
      <w:kern w:val="2"/>
      <w:sz w:val="32"/>
      <w:szCs w:val="32"/>
    </w:rPr>
  </w:style>
  <w:style w:type="character" w:customStyle="1" w:styleId="revision1">
    <w:name w:val="revision1"/>
    <w:qFormat/>
    <w:rPr>
      <w:rFonts w:ascii="Arial" w:hAnsi="Arial" w:cs="Arial"/>
      <w:i w:val="0"/>
      <w:iCs w:val="0"/>
    </w:rPr>
  </w:style>
  <w:style w:type="character" w:customStyle="1" w:styleId="Heading4Char">
    <w:name w:val="Heading 4 Char"/>
    <w:qFormat/>
    <w:rPr>
      <w:rFonts w:ascii="Calibri" w:eastAsia="Times New Roman" w:hAnsi="Calibri" w:cs="DokChampa"/>
      <w:b/>
      <w:bCs/>
      <w:sz w:val="28"/>
      <w:szCs w:val="28"/>
      <w:lang w:bidi="ar-SA"/>
    </w:rPr>
  </w:style>
  <w:style w:type="character" w:customStyle="1" w:styleId="BodyText2Char">
    <w:name w:val="Body Text 2 Char"/>
    <w:qFormat/>
    <w:rPr>
      <w:sz w:val="24"/>
      <w:szCs w:val="24"/>
      <w:lang w:bidi="ar-SA"/>
    </w:rPr>
  </w:style>
  <w:style w:type="character" w:customStyle="1" w:styleId="Heading2Char">
    <w:name w:val="Heading 2 Char"/>
    <w:qFormat/>
    <w:rPr>
      <w:rFonts w:ascii="Calibri Light" w:eastAsia="Times New Roman" w:hAnsi="Calibri Light" w:cs="DokChampa"/>
      <w:b/>
      <w:bCs/>
      <w:i/>
      <w:iCs/>
      <w:sz w:val="28"/>
      <w:szCs w:val="28"/>
      <w:lang w:bidi="ar-SA"/>
    </w:rPr>
  </w:style>
  <w:style w:type="character" w:styleId="UnresolvedMention">
    <w:name w:val="Unresolved Mention"/>
    <w:qFormat/>
    <w:rPr>
      <w:color w:val="605E5C"/>
      <w:shd w:val="clear" w:color="auto" w:fill="E1DFDD"/>
    </w:rPr>
  </w:style>
  <w:style w:type="character" w:customStyle="1" w:styleId="highlight">
    <w:name w:val="highlight"/>
    <w:qFormat/>
  </w:style>
  <w:style w:type="character" w:customStyle="1" w:styleId="whitespace-normal">
    <w:name w:val="whitespace-normal"/>
    <w:qFormat/>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Arial" w:eastAsia="Lucida Sans Unicode" w:hAnsi="Arial" w:cs="Mangal;Mangal"/>
      <w:sz w:val="28"/>
      <w:szCs w:val="28"/>
    </w:rPr>
  </w:style>
  <w:style w:type="paragraph" w:styleId="BodyText">
    <w:name w:val="Body Text"/>
    <w:basedOn w:val="Normal"/>
    <w:pPr>
      <w:jc w:val="both"/>
    </w:pPr>
  </w:style>
  <w:style w:type="paragraph" w:styleId="List">
    <w:name w:val="List"/>
    <w:basedOn w:val="BodyText"/>
    <w:pPr>
      <w:spacing w:after="120"/>
      <w:jc w:val="left"/>
    </w:pPr>
    <w:rPr>
      <w:rFonts w:cs="Mangal;Mangal"/>
      <w:sz w:val="20"/>
      <w:szCs w:val="20"/>
    </w:rPr>
  </w:style>
  <w:style w:type="paragraph" w:styleId="Caption">
    <w:name w:val="caption"/>
    <w:basedOn w:val="Normal"/>
    <w:qFormat/>
    <w:pPr>
      <w:suppressLineNumbers/>
      <w:spacing w:before="120" w:after="120"/>
    </w:pPr>
    <w:rPr>
      <w:rFonts w:cs="Mangal;Mangal"/>
      <w:i/>
      <w:iCs/>
    </w:rPr>
  </w:style>
  <w:style w:type="paragraph" w:customStyle="1" w:styleId="Index">
    <w:name w:val="Index"/>
    <w:basedOn w:val="Normal"/>
    <w:qFormat/>
    <w:pPr>
      <w:suppressLineNumbers/>
    </w:pPr>
    <w:rPr>
      <w:rFonts w:cs="Mangal;Mangal"/>
      <w:sz w:val="20"/>
      <w:szCs w:val="20"/>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153"/>
        <w:tab w:val="right" w:pos="8306"/>
      </w:tabs>
    </w:pPr>
  </w:style>
  <w:style w:type="paragraph" w:customStyle="1" w:styleId="CharChar1">
    <w:name w:val="Char Char1"/>
    <w:basedOn w:val="Normal"/>
    <w:qFormat/>
    <w:pPr>
      <w:spacing w:after="160" w:line="240" w:lineRule="exact"/>
    </w:pPr>
    <w:rPr>
      <w:rFonts w:ascii="Tahoma" w:hAnsi="Tahoma" w:cs="Tahoma"/>
      <w:sz w:val="20"/>
      <w:szCs w:val="20"/>
      <w:lang w:val="en-US"/>
    </w:rPr>
  </w:style>
  <w:style w:type="paragraph" w:styleId="Footer">
    <w:name w:val="footer"/>
    <w:basedOn w:val="Normal"/>
    <w:pPr>
      <w:tabs>
        <w:tab w:val="center" w:pos="4153"/>
        <w:tab w:val="right" w:pos="8306"/>
      </w:tabs>
    </w:pPr>
  </w:style>
  <w:style w:type="paragraph" w:customStyle="1" w:styleId="WW-Index11111">
    <w:name w:val="WW-Index11111"/>
    <w:basedOn w:val="Normal"/>
    <w:qFormat/>
    <w:pPr>
      <w:suppressLineNumbers/>
      <w:spacing w:line="480" w:lineRule="auto"/>
      <w:jc w:val="both"/>
    </w:pPr>
    <w:rPr>
      <w:rFonts w:cs="Tahoma"/>
      <w:szCs w:val="20"/>
    </w:rPr>
  </w:style>
  <w:style w:type="paragraph" w:styleId="ListParagraph">
    <w:name w:val="List Paragraph"/>
    <w:basedOn w:val="Normal"/>
    <w:qFormat/>
    <w:pPr>
      <w:ind w:left="720"/>
    </w:pPr>
  </w:style>
  <w:style w:type="paragraph" w:styleId="FootnoteText">
    <w:name w:val="footnote text"/>
    <w:basedOn w:val="Normal"/>
    <w:rPr>
      <w:sz w:val="20"/>
      <w:szCs w:val="20"/>
    </w:rPr>
  </w:style>
  <w:style w:type="paragraph" w:customStyle="1" w:styleId="Text1">
    <w:name w:val="Text 1"/>
    <w:basedOn w:val="Normal"/>
    <w:qFormat/>
    <w:pPr>
      <w:widowControl w:val="0"/>
      <w:spacing w:after="240"/>
      <w:ind w:left="482"/>
      <w:jc w:val="both"/>
    </w:pPr>
    <w:rPr>
      <w:rFonts w:ascii="Arial" w:hAnsi="Arial" w:cs="Arial"/>
      <w:sz w:val="20"/>
      <w:szCs w:val="20"/>
      <w:lang w:val="en-GB"/>
    </w:rPr>
  </w:style>
  <w:style w:type="paragraph" w:styleId="BalloonText">
    <w:name w:val="Balloon Text"/>
    <w:basedOn w:val="Normal"/>
    <w:qFormat/>
    <w:rPr>
      <w:rFonts w:ascii="Segoe UI" w:hAnsi="Segoe UI" w:cs="Segoe UI"/>
      <w:sz w:val="18"/>
      <w:szCs w:val="18"/>
    </w:rPr>
  </w:style>
  <w:style w:type="paragraph" w:styleId="BodyTextIndent3">
    <w:name w:val="Body Text Indent 3"/>
    <w:basedOn w:val="Normal"/>
    <w:qFormat/>
    <w:pPr>
      <w:spacing w:after="120"/>
      <w:ind w:left="283"/>
    </w:pPr>
    <w:rPr>
      <w:sz w:val="16"/>
      <w:szCs w:val="16"/>
    </w:rPr>
  </w:style>
  <w:style w:type="paragraph" w:styleId="BodyTextIndent">
    <w:name w:val="Body Text Indent"/>
    <w:basedOn w:val="Normal"/>
    <w:pPr>
      <w:spacing w:after="120"/>
      <w:ind w:left="283"/>
    </w:pPr>
    <w:rPr>
      <w:lang w:val="ru-RU"/>
    </w:rPr>
  </w:style>
  <w:style w:type="paragraph" w:customStyle="1" w:styleId="WW-DefaultStyle">
    <w:name w:val="WW-Default Style"/>
    <w:qFormat/>
    <w:pPr>
      <w:suppressAutoHyphens/>
      <w:spacing w:line="100" w:lineRule="atLeast"/>
    </w:pPr>
    <w:rPr>
      <w:rFonts w:ascii="Times New Roman" w:eastAsia="Times New Roman" w:hAnsi="Times New Roman" w:cs="Times New Roman"/>
      <w:color w:val="00000A"/>
      <w:sz w:val="24"/>
      <w:szCs w:val="24"/>
      <w:lang w:eastAsia="zh-CN"/>
    </w:rPr>
  </w:style>
  <w:style w:type="paragraph" w:customStyle="1" w:styleId="TextBody">
    <w:name w:val="Text Body"/>
    <w:basedOn w:val="Normal"/>
    <w:qFormat/>
    <w:pPr>
      <w:spacing w:after="120" w:line="100" w:lineRule="atLeast"/>
    </w:pPr>
    <w:rPr>
      <w:color w:val="00000A"/>
    </w:rPr>
  </w:style>
  <w:style w:type="paragraph" w:customStyle="1" w:styleId="BodyText21">
    <w:name w:val="Body Text 21"/>
    <w:basedOn w:val="Normal"/>
    <w:qFormat/>
    <w:pPr>
      <w:jc w:val="both"/>
    </w:pPr>
    <w:rPr>
      <w:sz w:val="20"/>
      <w:szCs w:val="20"/>
    </w:rPr>
  </w:style>
  <w:style w:type="paragraph" w:customStyle="1" w:styleId="BalloonText1">
    <w:name w:val="Balloon Text1"/>
    <w:basedOn w:val="Normal"/>
    <w:qFormat/>
    <w:rPr>
      <w:rFonts w:ascii="Tahoma" w:hAnsi="Tahoma" w:cs="Tahoma"/>
      <w:sz w:val="16"/>
      <w:szCs w:val="16"/>
    </w:rPr>
  </w:style>
  <w:style w:type="paragraph" w:customStyle="1" w:styleId="CharCharCharCharCharCharCharCharCharCharCharCharChar">
    <w:name w:val="Char Char Char Char Char Char Char Char Char Char Char Char Char"/>
    <w:basedOn w:val="Normal"/>
    <w:qFormat/>
    <w:pPr>
      <w:spacing w:after="160" w:line="240" w:lineRule="exact"/>
    </w:pPr>
    <w:rPr>
      <w:rFonts w:ascii="Tahoma" w:hAnsi="Tahoma" w:cs="Tahoma"/>
      <w:sz w:val="20"/>
      <w:szCs w:val="20"/>
      <w:lang w:val="en-US"/>
    </w:rPr>
  </w:style>
  <w:style w:type="paragraph" w:customStyle="1" w:styleId="CommentText1">
    <w:name w:val="Comment Text1"/>
    <w:basedOn w:val="Normal"/>
    <w:qFormat/>
    <w:rPr>
      <w:sz w:val="20"/>
      <w:szCs w:val="20"/>
    </w:rPr>
  </w:style>
  <w:style w:type="paragraph" w:customStyle="1" w:styleId="CommentSubject1">
    <w:name w:val="Comment Subject1"/>
    <w:basedOn w:val="CommentText1"/>
    <w:next w:val="CommentText1"/>
    <w:qFormat/>
    <w:rPr>
      <w:b/>
      <w:bCs/>
    </w:rPr>
  </w:style>
  <w:style w:type="paragraph" w:customStyle="1" w:styleId="Framecontents">
    <w:name w:val="Frame contents"/>
    <w:basedOn w:val="BodyText"/>
    <w:qFormat/>
    <w:pPr>
      <w:spacing w:after="120"/>
      <w:jc w:val="left"/>
    </w:pPr>
    <w:rPr>
      <w:sz w:val="20"/>
      <w:szCs w:val="20"/>
    </w:rPr>
  </w:style>
  <w:style w:type="paragraph" w:customStyle="1" w:styleId="TableContents">
    <w:name w:val="Table Contents"/>
    <w:basedOn w:val="Normal"/>
    <w:qFormat/>
    <w:pPr>
      <w:suppressLineNumbers/>
    </w:pPr>
    <w:rPr>
      <w:sz w:val="20"/>
      <w:szCs w:val="20"/>
    </w:rPr>
  </w:style>
  <w:style w:type="paragraph" w:customStyle="1" w:styleId="TableHeading">
    <w:name w:val="Table Heading"/>
    <w:basedOn w:val="TableContents"/>
    <w:qFormat/>
    <w:pPr>
      <w:jc w:val="center"/>
    </w:pPr>
    <w:rPr>
      <w:b/>
      <w:bCs/>
    </w:rPr>
  </w:style>
  <w:style w:type="paragraph" w:customStyle="1" w:styleId="FrameContents1">
    <w:name w:val="Frame Contents1"/>
    <w:basedOn w:val="Normal"/>
    <w:qFormat/>
    <w:rPr>
      <w:sz w:val="20"/>
      <w:szCs w:val="20"/>
    </w:r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HTMLPreformatted">
    <w:name w:val="HTML Preformatted"/>
    <w:basedOn w:val="Normal"/>
    <w:qFormat/>
    <w:rPr>
      <w:rFonts w:ascii="Courier New" w:hAnsi="Courier New" w:cs="Courier New"/>
      <w:sz w:val="20"/>
      <w:szCs w:val="20"/>
    </w:rPr>
  </w:style>
  <w:style w:type="paragraph" w:styleId="BodyTextIndent2">
    <w:name w:val="Body Text Indent 2"/>
    <w:basedOn w:val="Normal"/>
    <w:qFormat/>
    <w:pPr>
      <w:spacing w:after="120" w:line="480" w:lineRule="auto"/>
      <w:ind w:left="283"/>
    </w:pPr>
  </w:style>
  <w:style w:type="paragraph" w:customStyle="1" w:styleId="Style1">
    <w:name w:val="Style1"/>
    <w:basedOn w:val="ListParagraph"/>
    <w:qFormat/>
    <w:pPr>
      <w:numPr>
        <w:numId w:val="2"/>
      </w:numPr>
      <w:tabs>
        <w:tab w:val="left" w:pos="1260"/>
      </w:tabs>
      <w:ind w:left="1260" w:firstLine="0"/>
      <w:contextualSpacing/>
      <w:jc w:val="center"/>
    </w:pPr>
    <w:rPr>
      <w:rFonts w:eastAsia="Calibri"/>
      <w:b/>
    </w:rPr>
  </w:style>
  <w:style w:type="paragraph" w:customStyle="1" w:styleId="Style2">
    <w:name w:val="Style2"/>
    <w:basedOn w:val="ListParagraph"/>
    <w:qFormat/>
    <w:pPr>
      <w:tabs>
        <w:tab w:val="num" w:pos="0"/>
        <w:tab w:val="left" w:pos="1980"/>
      </w:tabs>
      <w:spacing w:before="240"/>
      <w:ind w:left="1980" w:hanging="360"/>
    </w:pPr>
    <w:rPr>
      <w:rFonts w:eastAsia="Calibri"/>
      <w:b/>
    </w:rPr>
  </w:style>
  <w:style w:type="paragraph" w:customStyle="1" w:styleId="Style3">
    <w:name w:val="Style3"/>
    <w:basedOn w:val="ListParagraph"/>
    <w:qFormat/>
    <w:pPr>
      <w:tabs>
        <w:tab w:val="num" w:pos="0"/>
      </w:tabs>
      <w:spacing w:before="120"/>
      <w:ind w:left="360" w:hanging="360"/>
      <w:contextualSpacing/>
      <w:jc w:val="both"/>
    </w:pPr>
    <w:rPr>
      <w:b/>
      <w:sz w:val="28"/>
      <w:szCs w:val="28"/>
    </w:rPr>
  </w:style>
  <w:style w:type="paragraph" w:styleId="Title">
    <w:name w:val="Title"/>
    <w:basedOn w:val="Normal"/>
    <w:next w:val="Normal"/>
    <w:uiPriority w:val="10"/>
    <w:qFormat/>
    <w:pPr>
      <w:spacing w:before="240" w:after="60"/>
      <w:jc w:val="center"/>
      <w:outlineLvl w:val="0"/>
    </w:pPr>
    <w:rPr>
      <w:rFonts w:ascii="Calibri Light" w:hAnsi="Calibri Light"/>
      <w:b/>
      <w:bCs/>
      <w:kern w:val="2"/>
      <w:sz w:val="32"/>
      <w:szCs w:val="32"/>
    </w:rPr>
  </w:style>
  <w:style w:type="paragraph" w:customStyle="1" w:styleId="Outline2limenis">
    <w:name w:val="Outline 2 limenis"/>
    <w:basedOn w:val="Normal"/>
    <w:qFormat/>
    <w:pPr>
      <w:spacing w:after="120"/>
      <w:jc w:val="both"/>
    </w:pPr>
    <w:rPr>
      <w:color w:val="000000"/>
    </w:rPr>
  </w:style>
  <w:style w:type="paragraph" w:styleId="BodyText2">
    <w:name w:val="Body Text 2"/>
    <w:basedOn w:val="Normal"/>
    <w:qFormat/>
    <w:pPr>
      <w:spacing w:after="120" w:line="480" w:lineRule="auto"/>
    </w:pPr>
  </w:style>
  <w:style w:type="paragraph" w:customStyle="1" w:styleId="Default">
    <w:name w:val="Default"/>
    <w:qFormat/>
    <w:pPr>
      <w:suppressAutoHyphens/>
      <w:autoSpaceDE w:val="0"/>
    </w:pPr>
    <w:rPr>
      <w:rFonts w:ascii="Times New Roman" w:eastAsia="Times New Roman" w:hAnsi="Times New Roman" w:cs="Times New Roman"/>
      <w:color w:val="000000"/>
      <w:sz w:val="24"/>
      <w:szCs w:val="24"/>
      <w:lang w:eastAsia="zh-CN"/>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7854">
      <w:bodyDiv w:val="1"/>
      <w:marLeft w:val="0"/>
      <w:marRight w:val="0"/>
      <w:marTop w:val="0"/>
      <w:marBottom w:val="0"/>
      <w:divBdr>
        <w:top w:val="none" w:sz="0" w:space="0" w:color="auto"/>
        <w:left w:val="none" w:sz="0" w:space="0" w:color="auto"/>
        <w:bottom w:val="none" w:sz="0" w:space="0" w:color="auto"/>
        <w:right w:val="none" w:sz="0" w:space="0" w:color="auto"/>
      </w:divBdr>
    </w:div>
    <w:div w:id="78603493">
      <w:bodyDiv w:val="1"/>
      <w:marLeft w:val="0"/>
      <w:marRight w:val="0"/>
      <w:marTop w:val="0"/>
      <w:marBottom w:val="0"/>
      <w:divBdr>
        <w:top w:val="none" w:sz="0" w:space="0" w:color="auto"/>
        <w:left w:val="none" w:sz="0" w:space="0" w:color="auto"/>
        <w:bottom w:val="none" w:sz="0" w:space="0" w:color="auto"/>
        <w:right w:val="none" w:sz="0" w:space="0" w:color="auto"/>
      </w:divBdr>
    </w:div>
    <w:div w:id="116142814">
      <w:bodyDiv w:val="1"/>
      <w:marLeft w:val="0"/>
      <w:marRight w:val="0"/>
      <w:marTop w:val="0"/>
      <w:marBottom w:val="0"/>
      <w:divBdr>
        <w:top w:val="none" w:sz="0" w:space="0" w:color="auto"/>
        <w:left w:val="none" w:sz="0" w:space="0" w:color="auto"/>
        <w:bottom w:val="none" w:sz="0" w:space="0" w:color="auto"/>
        <w:right w:val="none" w:sz="0" w:space="0" w:color="auto"/>
      </w:divBdr>
    </w:div>
    <w:div w:id="157112496">
      <w:bodyDiv w:val="1"/>
      <w:marLeft w:val="0"/>
      <w:marRight w:val="0"/>
      <w:marTop w:val="0"/>
      <w:marBottom w:val="0"/>
      <w:divBdr>
        <w:top w:val="none" w:sz="0" w:space="0" w:color="auto"/>
        <w:left w:val="none" w:sz="0" w:space="0" w:color="auto"/>
        <w:bottom w:val="none" w:sz="0" w:space="0" w:color="auto"/>
        <w:right w:val="none" w:sz="0" w:space="0" w:color="auto"/>
      </w:divBdr>
    </w:div>
    <w:div w:id="750859133">
      <w:bodyDiv w:val="1"/>
      <w:marLeft w:val="0"/>
      <w:marRight w:val="0"/>
      <w:marTop w:val="0"/>
      <w:marBottom w:val="0"/>
      <w:divBdr>
        <w:top w:val="none" w:sz="0" w:space="0" w:color="auto"/>
        <w:left w:val="none" w:sz="0" w:space="0" w:color="auto"/>
        <w:bottom w:val="none" w:sz="0" w:space="0" w:color="auto"/>
        <w:right w:val="none" w:sz="0" w:space="0" w:color="auto"/>
      </w:divBdr>
    </w:div>
    <w:div w:id="877199368">
      <w:bodyDiv w:val="1"/>
      <w:marLeft w:val="0"/>
      <w:marRight w:val="0"/>
      <w:marTop w:val="0"/>
      <w:marBottom w:val="0"/>
      <w:divBdr>
        <w:top w:val="none" w:sz="0" w:space="0" w:color="auto"/>
        <w:left w:val="none" w:sz="0" w:space="0" w:color="auto"/>
        <w:bottom w:val="none" w:sz="0" w:space="0" w:color="auto"/>
        <w:right w:val="none" w:sz="0" w:space="0" w:color="auto"/>
      </w:divBdr>
    </w:div>
    <w:div w:id="1534733468">
      <w:bodyDiv w:val="1"/>
      <w:marLeft w:val="0"/>
      <w:marRight w:val="0"/>
      <w:marTop w:val="0"/>
      <w:marBottom w:val="0"/>
      <w:divBdr>
        <w:top w:val="none" w:sz="0" w:space="0" w:color="auto"/>
        <w:left w:val="none" w:sz="0" w:space="0" w:color="auto"/>
        <w:bottom w:val="none" w:sz="0" w:space="0" w:color="auto"/>
        <w:right w:val="none" w:sz="0" w:space="0" w:color="auto"/>
      </w:divBdr>
    </w:div>
    <w:div w:id="1615819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3</Pages>
  <Words>5575</Words>
  <Characters>3179</Characters>
  <Application>Microsoft Office Word</Application>
  <DocSecurity>0</DocSecurity>
  <Lines>26</Lines>
  <Paragraphs>17</Paragraphs>
  <ScaleCrop>false</ScaleCrop>
  <Company>LR IEM</Company>
  <LinksUpToDate>false</LinksUpToDate>
  <CharactersWithSpaces>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Amendments to the Regulations for Candidate Selection — 16 July 2026 (English translation)</dc:title>
  <dc:subject/>
  <dc:creator>rutka</dc:creator>
  <cp:keywords/>
  <dc:description/>
  <cp:lastModifiedBy>Daina Misāne</cp:lastModifiedBy>
  <cp:revision>42</cp:revision>
  <cp:lastPrinted>2026-07-16T10:58:00Z</cp:lastPrinted>
  <dcterms:created xsi:type="dcterms:W3CDTF">2026-04-08T10:30:00Z</dcterms:created>
  <dcterms:modified xsi:type="dcterms:W3CDTF">2026-07-16T12:18:00Z</dcterms:modified>
  <dc:language>en-US</dc:language>
</cp:coreProperties>
</file>