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05" w:rsidRPr="00C86B07" w:rsidRDefault="00931873">
      <w:pPr>
        <w:pStyle w:val="Title"/>
        <w:spacing w:before="0" w:after="0"/>
        <w:ind w:left="5103"/>
        <w:jc w:val="left"/>
        <w:rPr>
          <w:rFonts w:ascii="Times New Roman" w:hAnsi="Times New Roman"/>
          <w:b w:val="0"/>
          <w:sz w:val="20"/>
          <w:szCs w:val="20"/>
          <w:lang w:val="en-GB"/>
        </w:rPr>
      </w:pPr>
      <w:r>
        <w:rPr>
          <w:rFonts w:ascii="Times New Roman" w:hAnsi="Times New Roman"/>
          <w:b w:val="0"/>
          <w:sz w:val="20"/>
          <w:szCs w:val="20"/>
        </w:rPr>
        <w:t xml:space="preserve">              </w:t>
      </w:r>
      <w:r w:rsidRPr="00C86B07">
        <w:rPr>
          <w:rFonts w:ascii="Times New Roman" w:hAnsi="Times New Roman"/>
          <w:b w:val="0"/>
          <w:sz w:val="20"/>
          <w:szCs w:val="20"/>
          <w:lang w:val="en-GB"/>
        </w:rPr>
        <w:t xml:space="preserve">A P </w:t>
      </w:r>
      <w:proofErr w:type="spellStart"/>
      <w:r w:rsidRPr="00C86B07">
        <w:rPr>
          <w:rFonts w:ascii="Times New Roman" w:hAnsi="Times New Roman"/>
          <w:b w:val="0"/>
          <w:sz w:val="20"/>
          <w:szCs w:val="20"/>
          <w:lang w:val="en-GB"/>
        </w:rPr>
        <w:t>P</w:t>
      </w:r>
      <w:proofErr w:type="spellEnd"/>
      <w:r w:rsidRPr="00C86B07">
        <w:rPr>
          <w:rFonts w:ascii="Times New Roman" w:hAnsi="Times New Roman"/>
          <w:b w:val="0"/>
          <w:sz w:val="20"/>
          <w:szCs w:val="20"/>
          <w:lang w:val="en-GB"/>
        </w:rPr>
        <w:t xml:space="preserve"> R O V E D</w:t>
      </w:r>
    </w:p>
    <w:p w:rsidR="00BA2705" w:rsidRPr="00C86B07" w:rsidRDefault="00931873">
      <w:pPr>
        <w:ind w:left="5103"/>
        <w:jc w:val="both"/>
        <w:rPr>
          <w:sz w:val="20"/>
          <w:szCs w:val="20"/>
          <w:lang w:val="en-GB"/>
        </w:rPr>
      </w:pPr>
      <w:r w:rsidRPr="00C86B07">
        <w:rPr>
          <w:sz w:val="20"/>
          <w:szCs w:val="20"/>
          <w:lang w:val="en-GB"/>
        </w:rPr>
        <w:t>at the meeting of the Procurement Commission of the Aviation and Special Operations Board of the State Border Guard on ___ ______ 2026 (Minutes No. _____ of the meeting of ___ ______ 2026)</w:t>
      </w:r>
    </w:p>
    <w:p w:rsidR="00BA2705" w:rsidRPr="00C86B07" w:rsidRDefault="00BA2705">
      <w:pPr>
        <w:jc w:val="both"/>
        <w:rPr>
          <w:sz w:val="20"/>
          <w:szCs w:val="20"/>
          <w:lang w:val="en-GB"/>
        </w:rPr>
      </w:pPr>
    </w:p>
    <w:p w:rsidR="00BA2705" w:rsidRPr="00C86B07" w:rsidRDefault="00931873">
      <w:pPr>
        <w:jc w:val="center"/>
        <w:rPr>
          <w:b/>
          <w:sz w:val="28"/>
          <w:szCs w:val="28"/>
          <w:lang w:val="en-GB"/>
        </w:rPr>
      </w:pPr>
      <w:r w:rsidRPr="00C86B07">
        <w:rPr>
          <w:b/>
          <w:sz w:val="28"/>
          <w:szCs w:val="28"/>
          <w:lang w:val="en-GB"/>
        </w:rPr>
        <w:t>COMPETITIVE PROCEDURE WITH NEGOTIATION</w:t>
      </w:r>
    </w:p>
    <w:p w:rsidR="00C86B07" w:rsidRPr="00C86B07" w:rsidRDefault="00C86B07">
      <w:pPr>
        <w:jc w:val="center"/>
        <w:rPr>
          <w:szCs w:val="20"/>
          <w:lang w:val="en-GB"/>
        </w:rPr>
      </w:pPr>
      <w:r w:rsidRPr="00C86B07">
        <w:rPr>
          <w:szCs w:val="20"/>
          <w:lang w:val="en-GB"/>
        </w:rPr>
        <w:t xml:space="preserve">“Modernization of two </w:t>
      </w:r>
      <w:proofErr w:type="spellStart"/>
      <w:r w:rsidRPr="00C86B07">
        <w:rPr>
          <w:szCs w:val="20"/>
          <w:lang w:val="en-GB"/>
        </w:rPr>
        <w:t>Agusta</w:t>
      </w:r>
      <w:proofErr w:type="spellEnd"/>
      <w:r w:rsidRPr="00C86B07">
        <w:rPr>
          <w:szCs w:val="20"/>
          <w:lang w:val="en-GB"/>
        </w:rPr>
        <w:t xml:space="preserve"> 109E Power helicopter electro-optical equipment internal and external modernisation (4 years)” </w:t>
      </w:r>
    </w:p>
    <w:p w:rsidR="00BA2705" w:rsidRPr="00C86B07" w:rsidRDefault="00931873">
      <w:pPr>
        <w:jc w:val="center"/>
        <w:rPr>
          <w:b/>
          <w:caps/>
          <w:shadow/>
          <w:sz w:val="28"/>
          <w:szCs w:val="28"/>
          <w:lang w:val="en-GB"/>
        </w:rPr>
      </w:pPr>
      <w:r w:rsidRPr="00C86B07">
        <w:rPr>
          <w:b/>
          <w:shadow/>
          <w:sz w:val="28"/>
          <w:szCs w:val="28"/>
          <w:lang w:val="en-GB"/>
        </w:rPr>
        <w:t>CANDIDATE SELECTION</w:t>
      </w:r>
    </w:p>
    <w:p w:rsidR="00BA2705" w:rsidRPr="00C86B07" w:rsidRDefault="00931873">
      <w:pPr>
        <w:jc w:val="center"/>
        <w:rPr>
          <w:b/>
          <w:sz w:val="28"/>
          <w:szCs w:val="28"/>
          <w:lang w:val="en-GB"/>
        </w:rPr>
      </w:pPr>
      <w:r w:rsidRPr="00C86B07">
        <w:rPr>
          <w:b/>
          <w:sz w:val="28"/>
          <w:szCs w:val="28"/>
          <w:lang w:val="en-GB"/>
        </w:rPr>
        <w:t>REGULATIONS</w:t>
      </w:r>
    </w:p>
    <w:p w:rsidR="00BA2705" w:rsidRPr="00C86B07" w:rsidRDefault="00BA2705">
      <w:pPr>
        <w:rPr>
          <w:b/>
          <w:sz w:val="28"/>
          <w:szCs w:val="28"/>
          <w:lang w:val="en-GB"/>
        </w:rPr>
      </w:pPr>
    </w:p>
    <w:p w:rsidR="00BA2705" w:rsidRPr="00C86B07" w:rsidRDefault="00931873">
      <w:pPr>
        <w:jc w:val="center"/>
        <w:rPr>
          <w:b/>
          <w:lang w:val="en-GB"/>
        </w:rPr>
      </w:pPr>
      <w:r w:rsidRPr="00C86B07">
        <w:rPr>
          <w:b/>
          <w:lang w:val="en-GB"/>
        </w:rPr>
        <w:t>Chapter I.</w:t>
      </w:r>
    </w:p>
    <w:p w:rsidR="00BA2705" w:rsidRPr="00C86B07" w:rsidRDefault="00931873">
      <w:pPr>
        <w:jc w:val="center"/>
        <w:rPr>
          <w:b/>
          <w:lang w:val="en-GB"/>
        </w:rPr>
      </w:pPr>
      <w:r w:rsidRPr="00C86B07">
        <w:rPr>
          <w:b/>
          <w:lang w:val="en-GB"/>
        </w:rPr>
        <w:t>General Information</w:t>
      </w:r>
    </w:p>
    <w:p w:rsidR="00BA2705" w:rsidRPr="00C86B07" w:rsidRDefault="00BA2705">
      <w:pPr>
        <w:rPr>
          <w:b/>
          <w:lang w:val="en-GB"/>
        </w:rPr>
      </w:pPr>
    </w:p>
    <w:p w:rsidR="00BA2705" w:rsidRPr="00C86B07" w:rsidRDefault="00931873">
      <w:pPr>
        <w:tabs>
          <w:tab w:val="left" w:pos="0"/>
        </w:tabs>
        <w:rPr>
          <w:b/>
          <w:lang w:val="en-GB"/>
        </w:rPr>
      </w:pPr>
      <w:r w:rsidRPr="00C86B07">
        <w:rPr>
          <w:b/>
          <w:lang w:val="en-GB"/>
        </w:rPr>
        <w:t>1. Terms Used in the Regulations</w:t>
      </w:r>
    </w:p>
    <w:p w:rsidR="00BA2705" w:rsidRPr="00C86B07" w:rsidRDefault="00BA2705">
      <w:pPr>
        <w:tabs>
          <w:tab w:val="left" w:pos="360"/>
        </w:tabs>
        <w:jc w:val="both"/>
        <w:rPr>
          <w:b/>
          <w:lang w:val="en-GB"/>
        </w:rPr>
      </w:pPr>
    </w:p>
    <w:p w:rsidR="00BA2705" w:rsidRPr="00C86B07" w:rsidRDefault="00931873">
      <w:pPr>
        <w:tabs>
          <w:tab w:val="left" w:pos="426"/>
        </w:tabs>
        <w:jc w:val="both"/>
        <w:rPr>
          <w:lang w:val="en-GB"/>
        </w:rPr>
      </w:pPr>
      <w:r w:rsidRPr="00C86B07">
        <w:rPr>
          <w:lang w:val="en-GB"/>
        </w:rPr>
        <w:t>1.1. Procurement — the competitive procedure with negotiation implemented by the Contracting Authority in accordance with these Regulations.</w:t>
      </w:r>
    </w:p>
    <w:p w:rsidR="00BA2705" w:rsidRPr="00C86B07" w:rsidRDefault="00BA2705">
      <w:pPr>
        <w:jc w:val="both"/>
        <w:rPr>
          <w:lang w:val="en-GB"/>
        </w:rPr>
      </w:pPr>
    </w:p>
    <w:p w:rsidR="00BA2705" w:rsidRPr="00C86B07" w:rsidRDefault="00931873">
      <w:pPr>
        <w:jc w:val="both"/>
        <w:rPr>
          <w:lang w:val="en-GB"/>
        </w:rPr>
      </w:pPr>
      <w:r w:rsidRPr="00C86B07">
        <w:rPr>
          <w:lang w:val="en-GB"/>
        </w:rPr>
        <w:t>1.2. Contracting Authority — the State Border Guard or the procurement commission established by the Aviation and Special Operations Board of the State Border Guard for the implementation of the Procurement.</w:t>
      </w:r>
    </w:p>
    <w:p w:rsidR="00BA2705" w:rsidRPr="00C86B07" w:rsidRDefault="00BA2705">
      <w:pPr>
        <w:tabs>
          <w:tab w:val="left" w:pos="540"/>
        </w:tabs>
        <w:jc w:val="both"/>
        <w:rPr>
          <w:lang w:val="en-GB"/>
        </w:rPr>
      </w:pPr>
    </w:p>
    <w:p w:rsidR="00BA2705" w:rsidRPr="00C86B07" w:rsidRDefault="00931873">
      <w:pPr>
        <w:jc w:val="both"/>
        <w:rPr>
          <w:lang w:val="en-GB"/>
        </w:rPr>
      </w:pPr>
      <w:r w:rsidRPr="00C86B07">
        <w:rPr>
          <w:lang w:val="en-GB"/>
        </w:rPr>
        <w:t>1.3. Supplier — a natural or legal person, or an association of such persons in any combination thereof, which offers to provide the relevant services on the market.</w:t>
      </w:r>
    </w:p>
    <w:p w:rsidR="00BA2705" w:rsidRPr="00C86B07" w:rsidRDefault="00BA2705">
      <w:pPr>
        <w:jc w:val="both"/>
        <w:rPr>
          <w:lang w:val="en-GB"/>
        </w:rPr>
      </w:pPr>
    </w:p>
    <w:p w:rsidR="00BA2705" w:rsidRPr="00C86B07" w:rsidRDefault="00931873">
      <w:pPr>
        <w:jc w:val="both"/>
        <w:rPr>
          <w:lang w:val="en-GB"/>
        </w:rPr>
      </w:pPr>
      <w:r w:rsidRPr="00C86B07">
        <w:rPr>
          <w:lang w:val="en-GB"/>
        </w:rPr>
        <w:t>1.4. Candidate — a Supplier participating in the Procurement until submission of the initial tender.</w:t>
      </w:r>
    </w:p>
    <w:p w:rsidR="00BA2705" w:rsidRPr="00C86B07" w:rsidRDefault="00BA2705">
      <w:pPr>
        <w:tabs>
          <w:tab w:val="left" w:pos="426"/>
        </w:tabs>
        <w:jc w:val="both"/>
        <w:rPr>
          <w:lang w:val="en-GB"/>
        </w:rPr>
      </w:pPr>
    </w:p>
    <w:p w:rsidR="00BA2705" w:rsidRPr="00C86B07" w:rsidRDefault="00931873">
      <w:pPr>
        <w:tabs>
          <w:tab w:val="left" w:pos="426"/>
        </w:tabs>
        <w:jc w:val="both"/>
        <w:rPr>
          <w:lang w:val="en-GB"/>
        </w:rPr>
      </w:pPr>
      <w:r w:rsidRPr="00C86B07">
        <w:rPr>
          <w:lang w:val="en-GB"/>
        </w:rPr>
        <w:t>1.5. Tenderer — a Candidate who has submitted an initial tender to the Contracting Authority within the Procurement.</w:t>
      </w:r>
    </w:p>
    <w:p w:rsidR="00BA2705" w:rsidRPr="00C86B07" w:rsidRDefault="00BA2705">
      <w:pPr>
        <w:tabs>
          <w:tab w:val="left" w:pos="426"/>
        </w:tabs>
        <w:jc w:val="both"/>
        <w:rPr>
          <w:lang w:val="en-GB"/>
        </w:rPr>
      </w:pPr>
    </w:p>
    <w:p w:rsidR="00BA2705" w:rsidRPr="00C86B07" w:rsidRDefault="00931873">
      <w:pPr>
        <w:tabs>
          <w:tab w:val="left" w:pos="426"/>
        </w:tabs>
        <w:jc w:val="both"/>
        <w:rPr>
          <w:lang w:val="en-GB"/>
        </w:rPr>
      </w:pPr>
      <w:r w:rsidRPr="00C86B07">
        <w:rPr>
          <w:lang w:val="en-GB"/>
        </w:rPr>
        <w:t>1.6. Contractor — the selected Tenderer (including a member of an association of persons or a subcontractor) with whom the Contracting Authority has concluded a contract.</w:t>
      </w:r>
    </w:p>
    <w:p w:rsidR="00BA2705" w:rsidRPr="00C86B07" w:rsidRDefault="00BA2705">
      <w:pPr>
        <w:tabs>
          <w:tab w:val="left" w:pos="426"/>
        </w:tabs>
        <w:jc w:val="both"/>
        <w:rPr>
          <w:lang w:val="en-GB"/>
        </w:rPr>
      </w:pPr>
    </w:p>
    <w:p w:rsidR="00BA2705" w:rsidRPr="00C86B07" w:rsidRDefault="00931873">
      <w:pPr>
        <w:tabs>
          <w:tab w:val="left" w:pos="426"/>
        </w:tabs>
        <w:jc w:val="both"/>
        <w:rPr>
          <w:lang w:val="en-GB"/>
        </w:rPr>
      </w:pPr>
      <w:r w:rsidRPr="00C86B07">
        <w:rPr>
          <w:lang w:val="en-GB"/>
        </w:rPr>
        <w:t>1.7. Regulations — this document, including its annexes.</w:t>
      </w:r>
    </w:p>
    <w:p w:rsidR="00BA2705" w:rsidRPr="00C86B07" w:rsidRDefault="00BA2705">
      <w:pPr>
        <w:jc w:val="both"/>
        <w:rPr>
          <w:lang w:val="en-GB"/>
        </w:rPr>
      </w:pPr>
    </w:p>
    <w:p w:rsidR="00BA2705" w:rsidRPr="00C86B07" w:rsidRDefault="00931873">
      <w:pPr>
        <w:tabs>
          <w:tab w:val="left" w:pos="426"/>
        </w:tabs>
        <w:jc w:val="both"/>
        <w:rPr>
          <w:lang w:val="en-GB"/>
        </w:rPr>
      </w:pPr>
      <w:r w:rsidRPr="00C86B07">
        <w:rPr>
          <w:lang w:val="en-GB"/>
        </w:rPr>
        <w:t>1.8. Application — the set of documents of the Candidate, each member of a partnership where the Candidate is a partnership, and the person indicated by the Candidate on whose capacities the Candidate relies (subcontractor), by which the Candidate certifies to the Contracting Authority within the Procurement that its qualification complies with the requirements laid down in the Regulations and that it is not subject to the exclusion grounds laid down in Section 42, Paragraph two, Clauses 1, 2, 3, 4, 5, 6, 7, 10, 11, 12, 13 and 14 of the Public Procurement Law.</w:t>
      </w:r>
    </w:p>
    <w:p w:rsidR="00BA2705" w:rsidRPr="00C86B07" w:rsidRDefault="00BA2705">
      <w:pPr>
        <w:tabs>
          <w:tab w:val="left" w:pos="426"/>
        </w:tabs>
        <w:jc w:val="both"/>
        <w:rPr>
          <w:lang w:val="en-GB"/>
        </w:rPr>
      </w:pPr>
    </w:p>
    <w:p w:rsidR="00BA2705" w:rsidRPr="00C86B07" w:rsidRDefault="00931873">
      <w:pPr>
        <w:tabs>
          <w:tab w:val="left" w:pos="426"/>
        </w:tabs>
        <w:jc w:val="both"/>
        <w:rPr>
          <w:lang w:val="en-GB"/>
        </w:rPr>
      </w:pPr>
      <w:r w:rsidRPr="00C86B07">
        <w:rPr>
          <w:lang w:val="en-GB"/>
        </w:rPr>
        <w:t>1.9. E-Tenders System — the E-Tenders subsystem of the E-Procurement System provided for in Cabinet Regulation No. 816 of 20 December 2022 “Procedures for Electronic Public Procurement”.</w:t>
      </w:r>
    </w:p>
    <w:p w:rsidR="00BA2705" w:rsidRPr="00C86B07" w:rsidRDefault="00BA2705">
      <w:pPr>
        <w:tabs>
          <w:tab w:val="left" w:pos="426"/>
        </w:tabs>
        <w:jc w:val="both"/>
        <w:rPr>
          <w:lang w:val="en-GB"/>
        </w:rPr>
      </w:pPr>
    </w:p>
    <w:p w:rsidR="00BA2705" w:rsidRPr="00C86B07" w:rsidRDefault="00931873">
      <w:pPr>
        <w:tabs>
          <w:tab w:val="left" w:pos="1134"/>
        </w:tabs>
        <w:jc w:val="both"/>
        <w:rPr>
          <w:lang w:val="en-GB"/>
        </w:rPr>
      </w:pPr>
      <w:r w:rsidRPr="00C86B07">
        <w:rPr>
          <w:bCs/>
          <w:lang w:val="en-GB"/>
        </w:rPr>
        <w:t>1.10. Helicopter — the A109E helicopter at the disposal of the Contracting Authority (commercial designation: A109E POWER), registration mark YL-HMK (serial number: 11700) and registration mark YL-HML (serial number: 11704).</w:t>
      </w:r>
    </w:p>
    <w:p w:rsidR="00BA2705" w:rsidRPr="00C86B07" w:rsidRDefault="00BA2705">
      <w:pPr>
        <w:tabs>
          <w:tab w:val="left" w:pos="420"/>
          <w:tab w:val="left" w:pos="1134"/>
        </w:tabs>
        <w:jc w:val="both"/>
        <w:rPr>
          <w:bCs/>
          <w:lang w:val="en-GB"/>
        </w:rPr>
      </w:pPr>
    </w:p>
    <w:p w:rsidR="00BA2705" w:rsidRPr="00C86B07" w:rsidRDefault="00931873">
      <w:pPr>
        <w:tabs>
          <w:tab w:val="left" w:pos="426"/>
        </w:tabs>
        <w:jc w:val="both"/>
        <w:rPr>
          <w:lang w:val="en-GB"/>
        </w:rPr>
      </w:pPr>
      <w:r w:rsidRPr="00C86B07">
        <w:rPr>
          <w:lang w:val="en-GB"/>
        </w:rPr>
        <w:t>1.11. Successful Tenderer — the Tenderer to whom the Contracting Authority has awarded the right to conclude the contract.</w:t>
      </w:r>
    </w:p>
    <w:p w:rsidR="00BA2705" w:rsidRPr="00C86B07" w:rsidRDefault="00BA2705">
      <w:pPr>
        <w:tabs>
          <w:tab w:val="left" w:pos="426"/>
        </w:tabs>
        <w:jc w:val="both"/>
        <w:rPr>
          <w:lang w:val="en-GB"/>
        </w:rPr>
      </w:pPr>
    </w:p>
    <w:p w:rsidR="00BA2705" w:rsidRPr="00C86B07" w:rsidRDefault="00931873">
      <w:pPr>
        <w:tabs>
          <w:tab w:val="left" w:pos="426"/>
        </w:tabs>
        <w:jc w:val="both"/>
        <w:rPr>
          <w:lang w:val="en-GB"/>
        </w:rPr>
      </w:pPr>
      <w:r w:rsidRPr="00C86B07">
        <w:rPr>
          <w:lang w:val="en-GB"/>
        </w:rPr>
        <w:t>1.12. CR — Commission Regulation (EU) No 1321/2014 of 26 November 2014 on the continuing airworthiness of aircraft and aeronautical products, parts and appliances, and on the approval of organisations and personnel involved in these tasks.</w:t>
      </w:r>
    </w:p>
    <w:p w:rsidR="00BA2705" w:rsidRPr="00C86B07" w:rsidRDefault="00BA2705">
      <w:pPr>
        <w:tabs>
          <w:tab w:val="left" w:pos="426"/>
        </w:tabs>
        <w:jc w:val="both"/>
        <w:rPr>
          <w:lang w:val="en-GB"/>
        </w:rPr>
      </w:pPr>
    </w:p>
    <w:p w:rsidR="00BA2705" w:rsidRPr="00C86B07" w:rsidRDefault="00931873">
      <w:pPr>
        <w:tabs>
          <w:tab w:val="left" w:pos="420"/>
          <w:tab w:val="left" w:pos="1134"/>
        </w:tabs>
        <w:jc w:val="both"/>
        <w:rPr>
          <w:b/>
          <w:lang w:val="en-GB"/>
        </w:rPr>
      </w:pPr>
      <w:r w:rsidRPr="00C86B07">
        <w:rPr>
          <w:bCs/>
          <w:lang w:val="en-GB"/>
        </w:rPr>
        <w:t>1.13. LBG — the aviation technical base “</w:t>
      </w:r>
      <w:proofErr w:type="spellStart"/>
      <w:r w:rsidRPr="00C86B07">
        <w:rPr>
          <w:bCs/>
          <w:lang w:val="en-GB"/>
        </w:rPr>
        <w:t>Jaunsmilgas</w:t>
      </w:r>
      <w:proofErr w:type="spellEnd"/>
      <w:r w:rsidRPr="00C86B07">
        <w:rPr>
          <w:bCs/>
          <w:lang w:val="en-GB"/>
        </w:rPr>
        <w:t xml:space="preserve">” at </w:t>
      </w:r>
      <w:proofErr w:type="spellStart"/>
      <w:r w:rsidRPr="00C86B07">
        <w:rPr>
          <w:bCs/>
          <w:lang w:val="en-GB"/>
        </w:rPr>
        <w:t>Runtorta</w:t>
      </w:r>
      <w:proofErr w:type="spellEnd"/>
      <w:r w:rsidRPr="00C86B07">
        <w:rPr>
          <w:bCs/>
          <w:lang w:val="en-GB"/>
        </w:rPr>
        <w:t xml:space="preserve">, </w:t>
      </w:r>
      <w:proofErr w:type="spellStart"/>
      <w:r w:rsidRPr="00C86B07">
        <w:rPr>
          <w:bCs/>
          <w:lang w:val="en-GB"/>
        </w:rPr>
        <w:t>Isnauda</w:t>
      </w:r>
      <w:proofErr w:type="spellEnd"/>
      <w:r w:rsidRPr="00C86B07">
        <w:rPr>
          <w:bCs/>
          <w:lang w:val="en-GB"/>
        </w:rPr>
        <w:t xml:space="preserve"> Parish, </w:t>
      </w:r>
      <w:proofErr w:type="spellStart"/>
      <w:r w:rsidRPr="00C86B07">
        <w:rPr>
          <w:bCs/>
          <w:lang w:val="en-GB"/>
        </w:rPr>
        <w:t>Ludza</w:t>
      </w:r>
      <w:proofErr w:type="spellEnd"/>
      <w:r w:rsidRPr="00C86B07">
        <w:rPr>
          <w:bCs/>
          <w:lang w:val="en-GB"/>
        </w:rPr>
        <w:t xml:space="preserve"> Municipality, at the disposal of the Contracting Authority (principal place of operation), certified in accordance with the requirements of the CR (certificate LV.CAO.0011).</w:t>
      </w:r>
    </w:p>
    <w:p w:rsidR="00BA2705" w:rsidRPr="00C86B07" w:rsidRDefault="00BA2705">
      <w:pPr>
        <w:tabs>
          <w:tab w:val="left" w:pos="426"/>
        </w:tabs>
        <w:jc w:val="both"/>
        <w:rPr>
          <w:b/>
          <w:lang w:val="en-GB"/>
        </w:rPr>
      </w:pPr>
    </w:p>
    <w:p w:rsidR="00BA2705" w:rsidRPr="00C86B07" w:rsidRDefault="00931873">
      <w:pPr>
        <w:jc w:val="both"/>
        <w:rPr>
          <w:b/>
          <w:lang w:val="en-GB"/>
        </w:rPr>
      </w:pPr>
      <w:r w:rsidRPr="00C86B07">
        <w:rPr>
          <w:b/>
          <w:lang w:val="en-GB"/>
        </w:rPr>
        <w:t>2. Procurement Identification Number</w:t>
      </w:r>
    </w:p>
    <w:p w:rsidR="00BA2705" w:rsidRPr="00C86B07" w:rsidRDefault="00BA2705">
      <w:pPr>
        <w:tabs>
          <w:tab w:val="left" w:pos="360"/>
        </w:tabs>
        <w:jc w:val="both"/>
        <w:rPr>
          <w:b/>
          <w:lang w:val="en-GB"/>
        </w:rPr>
      </w:pPr>
    </w:p>
    <w:p w:rsidR="00BA2705" w:rsidRPr="00C86B07" w:rsidRDefault="00931873">
      <w:pPr>
        <w:tabs>
          <w:tab w:val="left" w:pos="360"/>
        </w:tabs>
        <w:jc w:val="both"/>
        <w:rPr>
          <w:lang w:val="en-GB"/>
        </w:rPr>
      </w:pPr>
      <w:r w:rsidRPr="00C86B07">
        <w:rPr>
          <w:lang w:val="en-GB"/>
        </w:rPr>
        <w:t>The Procurement identification number is: VRS 2026/15-01-ASOP.</w:t>
      </w:r>
    </w:p>
    <w:p w:rsidR="00BA2705" w:rsidRPr="00C86B07" w:rsidRDefault="00BA2705">
      <w:pPr>
        <w:tabs>
          <w:tab w:val="left" w:pos="360"/>
        </w:tabs>
        <w:jc w:val="both"/>
        <w:rPr>
          <w:lang w:val="en-GB"/>
        </w:rPr>
      </w:pPr>
    </w:p>
    <w:p w:rsidR="00BA2705" w:rsidRPr="00C86B07" w:rsidRDefault="00931873">
      <w:pPr>
        <w:jc w:val="both"/>
        <w:rPr>
          <w:b/>
          <w:lang w:val="en-GB"/>
        </w:rPr>
      </w:pPr>
      <w:r w:rsidRPr="00C86B07">
        <w:rPr>
          <w:b/>
          <w:lang w:val="en-GB"/>
        </w:rPr>
        <w:t>3. Subject-Matter and Purpose of the Procurement</w:t>
      </w:r>
    </w:p>
    <w:p w:rsidR="00BA2705" w:rsidRPr="00C86B07" w:rsidRDefault="00BA2705">
      <w:pPr>
        <w:tabs>
          <w:tab w:val="left" w:pos="360"/>
        </w:tabs>
        <w:jc w:val="both"/>
        <w:rPr>
          <w:b/>
          <w:lang w:val="en-GB"/>
        </w:rPr>
      </w:pPr>
    </w:p>
    <w:p w:rsidR="00BA2705" w:rsidRPr="00C86B07" w:rsidRDefault="00931873">
      <w:pPr>
        <w:widowControl w:val="0"/>
        <w:tabs>
          <w:tab w:val="left" w:pos="426"/>
        </w:tabs>
        <w:jc w:val="both"/>
        <w:rPr>
          <w:lang w:val="en-GB"/>
        </w:rPr>
      </w:pPr>
      <w:r w:rsidRPr="00C86B07">
        <w:rPr>
          <w:lang w:val="en-GB"/>
        </w:rPr>
        <w:t>3.1. The subject-matter of the Procurement is:</w:t>
      </w:r>
    </w:p>
    <w:p w:rsidR="00BA2705" w:rsidRPr="00C86B07" w:rsidRDefault="00931873">
      <w:pPr>
        <w:widowControl w:val="0"/>
        <w:tabs>
          <w:tab w:val="left" w:pos="426"/>
        </w:tabs>
        <w:jc w:val="both"/>
        <w:rPr>
          <w:lang w:val="en-GB"/>
        </w:rPr>
      </w:pPr>
      <w:r w:rsidRPr="00C86B07">
        <w:rPr>
          <w:lang w:val="en-GB"/>
        </w:rPr>
        <w:tab/>
      </w:r>
      <w:r w:rsidRPr="00C86B07">
        <w:rPr>
          <w:lang w:val="en-GB"/>
        </w:rPr>
        <w:tab/>
        <w:t>3.1.1. removal, from two helicopters, of the Sea FLIR III electro-optical camera (part number: 23485-201) and its control console at the disposal of the State Border Guard;</w:t>
      </w:r>
    </w:p>
    <w:p w:rsidR="00BA2705" w:rsidRPr="00C86B07" w:rsidRDefault="00931873">
      <w:pPr>
        <w:widowControl w:val="0"/>
        <w:tabs>
          <w:tab w:val="left" w:pos="426"/>
        </w:tabs>
        <w:jc w:val="both"/>
        <w:rPr>
          <w:lang w:val="en-GB"/>
        </w:rPr>
      </w:pPr>
      <w:r w:rsidRPr="00C86B07">
        <w:rPr>
          <w:lang w:val="en-GB"/>
        </w:rPr>
        <w:tab/>
      </w:r>
      <w:r w:rsidRPr="00C86B07">
        <w:rPr>
          <w:lang w:val="en-GB"/>
        </w:rPr>
        <w:tab/>
        <w:t>3.1.2. installation, in two helicopters, of the MX 10S electro-optical camera (part number 44620-4045, model number 82048, s/n 446201796, 446201798) and its control console at the disposal of the State Border Guard.</w:t>
      </w:r>
    </w:p>
    <w:p w:rsidR="00BA2705" w:rsidRPr="00C86B07" w:rsidRDefault="00931873">
      <w:pPr>
        <w:tabs>
          <w:tab w:val="left" w:pos="2610"/>
        </w:tabs>
        <w:jc w:val="both"/>
        <w:rPr>
          <w:lang w:val="en-GB"/>
        </w:rPr>
      </w:pPr>
      <w:r w:rsidRPr="00C86B07">
        <w:rPr>
          <w:lang w:val="en-GB"/>
        </w:rPr>
        <w:tab/>
      </w:r>
    </w:p>
    <w:p w:rsidR="00BA2705" w:rsidRPr="00C86B07" w:rsidRDefault="00931873">
      <w:pPr>
        <w:rPr>
          <w:lang w:val="en-GB"/>
        </w:rPr>
      </w:pPr>
      <w:r w:rsidRPr="00C86B07">
        <w:rPr>
          <w:lang w:val="en-GB"/>
        </w:rPr>
        <w:t>3.2. The following CPV code corresponds to the subject-matter of the Procurement: 50212000-4 (Repair and maintenance services of helicopters).</w:t>
      </w:r>
    </w:p>
    <w:p w:rsidR="00BA2705" w:rsidRPr="00C86B07" w:rsidRDefault="00BA2705">
      <w:pPr>
        <w:jc w:val="both"/>
        <w:rPr>
          <w:shd w:val="clear" w:color="auto" w:fill="FFFFFF"/>
          <w:lang w:val="en-GB"/>
        </w:rPr>
      </w:pPr>
    </w:p>
    <w:p w:rsidR="00BA2705" w:rsidRPr="00C86B07" w:rsidRDefault="00931873">
      <w:pPr>
        <w:jc w:val="both"/>
        <w:rPr>
          <w:lang w:val="en-GB"/>
        </w:rPr>
      </w:pPr>
      <w:r w:rsidRPr="00C86B07">
        <w:rPr>
          <w:lang w:val="en-GB"/>
        </w:rPr>
        <w:t>3.3. Description of the subject-matter of the Procurement and intended purpose:</w:t>
      </w:r>
    </w:p>
    <w:p w:rsidR="00BA2705" w:rsidRPr="00C86B07" w:rsidRDefault="00931873">
      <w:pPr>
        <w:jc w:val="both"/>
        <w:rPr>
          <w:lang w:val="en-GB"/>
        </w:rPr>
      </w:pPr>
      <w:r w:rsidRPr="00C86B07">
        <w:rPr>
          <w:lang w:val="en-GB"/>
        </w:rPr>
        <w:t>3.3.1. within the Procurement, the Contractor shall install, in two A109E-type helicopters, the MX-10S electro-optical camera and its control console at the disposal of the State Border Guard, which are installed and certified in A119MKII-type helicopters, after first removing the Sea FLIR III electro-optical cameras and their control consoles.</w:t>
      </w:r>
    </w:p>
    <w:p w:rsidR="00BA2705" w:rsidRPr="00C86B07" w:rsidRDefault="00931873">
      <w:pPr>
        <w:jc w:val="both"/>
        <w:rPr>
          <w:lang w:val="en-GB"/>
        </w:rPr>
      </w:pPr>
      <w:r w:rsidRPr="00C86B07">
        <w:rPr>
          <w:lang w:val="en-GB"/>
        </w:rPr>
        <w:t>3.3.2. following modernisation of the internal and external installation of the helicopters’ electro-optical equipment, all brackets, cables, connectors, etc. necessary and at the same time sufficient so that, upon connection thereto of the MX 10S electro-optical camera and its control console, it can be used for its intended purposes shall be installed in the helicopters.</w:t>
      </w:r>
    </w:p>
    <w:p w:rsidR="00BA2705" w:rsidRPr="00C86B07" w:rsidRDefault="00931873">
      <w:pPr>
        <w:jc w:val="both"/>
        <w:rPr>
          <w:lang w:val="en-GB"/>
        </w:rPr>
      </w:pPr>
      <w:r w:rsidRPr="00C86B07">
        <w:rPr>
          <w:lang w:val="en-GB"/>
        </w:rPr>
        <w:t>3.3.3. following modernisation of the internal and external installation of the helicopters’ electro-optical equipment, the MX 10S electro-optical camera and its control console shall be usable both on A119MKII helicopters and on A109E helicopters.</w:t>
      </w:r>
    </w:p>
    <w:p w:rsidR="00BA2705" w:rsidRPr="00C86B07" w:rsidRDefault="00931873">
      <w:pPr>
        <w:pStyle w:val="ListParagraph"/>
        <w:ind w:left="0"/>
        <w:jc w:val="both"/>
        <w:rPr>
          <w:lang w:val="en-GB"/>
        </w:rPr>
      </w:pPr>
      <w:r w:rsidRPr="00C86B07">
        <w:rPr>
          <w:lang w:val="en-GB"/>
        </w:rPr>
        <w:t>3.3.3. Certification of the MX 10S and its console:</w:t>
      </w:r>
    </w:p>
    <w:p w:rsidR="00BA2705" w:rsidRPr="00C86B07" w:rsidRDefault="00931873">
      <w:pPr>
        <w:jc w:val="both"/>
        <w:rPr>
          <w:lang w:val="en-GB"/>
        </w:rPr>
      </w:pPr>
      <w:r w:rsidRPr="00C86B07">
        <w:rPr>
          <w:lang w:val="en-GB"/>
        </w:rPr>
        <w:t>3.3.3.1. in respect of the MX 10S, its control console and the internal and external installation of the helicopters, all certificates, approvals, etc. have been obtained and all actions, including installation works, have been carried out which comply with:</w:t>
      </w:r>
    </w:p>
    <w:p w:rsidR="00BA2705" w:rsidRPr="00C86B07" w:rsidRDefault="00931873">
      <w:pPr>
        <w:jc w:val="both"/>
        <w:rPr>
          <w:lang w:val="en-GB"/>
        </w:rPr>
      </w:pPr>
      <w:r w:rsidRPr="00C86B07">
        <w:rPr>
          <w:bCs/>
          <w:color w:val="000000"/>
          <w:lang w:val="en-GB"/>
        </w:rPr>
        <w:t>3.3.3.1.1. the requirements of Commission Regulation (EU) No 748/2012 of 3 August 2012 laying down implementing rules for the airworthiness and environmental certification of aircraft and related products, parts and appliances, as well as for the certification of design and production organisations, and are sufficient to enable the helicopters to obtain a certificate of airworthiness after completion of the installation works;</w:t>
      </w:r>
    </w:p>
    <w:p w:rsidR="00BA2705" w:rsidRPr="00C86B07" w:rsidRDefault="00931873">
      <w:pPr>
        <w:jc w:val="both"/>
        <w:rPr>
          <w:lang w:val="en-GB"/>
        </w:rPr>
      </w:pPr>
      <w:r w:rsidRPr="00C86B07">
        <w:rPr>
          <w:bCs/>
          <w:color w:val="000000"/>
          <w:lang w:val="en-GB"/>
        </w:rPr>
        <w:t>3.3.3.1.2. the requirements of Commission Regulation (EU) No 1321/2014 of 26 November 2014 on the continuing airworthiness of aircraft and aeronautical products, parts and appliances, and on the approval of organisations and personnel involved in these tasks;</w:t>
      </w:r>
    </w:p>
    <w:p w:rsidR="00BA2705" w:rsidRPr="00C86B07" w:rsidRDefault="00931873">
      <w:pPr>
        <w:jc w:val="both"/>
        <w:rPr>
          <w:lang w:val="en-GB"/>
        </w:rPr>
      </w:pPr>
      <w:r w:rsidRPr="00C86B07">
        <w:rPr>
          <w:lang w:val="en-GB" w:eastAsia="en-US"/>
        </w:rPr>
        <w:lastRenderedPageBreak/>
        <w:t>3.3.4. time limit for installation of the MX 10S and its control console — up to 12 months from the date of the order;</w:t>
      </w:r>
    </w:p>
    <w:p w:rsidR="00BA2705" w:rsidRPr="00C86B07" w:rsidRDefault="00931873">
      <w:pPr>
        <w:jc w:val="both"/>
        <w:rPr>
          <w:lang w:val="en-GB"/>
        </w:rPr>
      </w:pPr>
      <w:r w:rsidRPr="00C86B07">
        <w:rPr>
          <w:lang w:val="en-GB"/>
        </w:rPr>
        <w:t>3.3.5. place of installation of the MX 10S and its control console — LBG;</w:t>
      </w:r>
    </w:p>
    <w:p w:rsidR="00BA2705" w:rsidRPr="00C86B07" w:rsidRDefault="00931873">
      <w:pPr>
        <w:jc w:val="both"/>
        <w:rPr>
          <w:lang w:val="en-GB"/>
        </w:rPr>
      </w:pPr>
      <w:r w:rsidRPr="00C86B07">
        <w:rPr>
          <w:lang w:val="en-GB" w:eastAsia="en-US"/>
        </w:rPr>
        <w:t xml:space="preserve">3.3.6. upon verification of the compliance of the MX 10S, its control console and the internal and external installation of the helicopter with the requirements of the CR, the LV.CAO.0011 technical organisation of the Aviation and Special Operations Board of the State Border Guard will issue </w:t>
      </w:r>
      <w:r w:rsidR="00C86B07">
        <w:rPr>
          <w:lang w:val="en-GB" w:eastAsia="en-US"/>
        </w:rPr>
        <w:t>(</w:t>
      </w:r>
      <w:r w:rsidRPr="00C86B07">
        <w:rPr>
          <w:lang w:val="en-GB" w:eastAsia="en-US"/>
        </w:rPr>
        <w:t>a Certificate of Release to Service</w:t>
      </w:r>
      <w:r w:rsidR="00C86B07">
        <w:rPr>
          <w:lang w:val="en-GB" w:eastAsia="en-US"/>
        </w:rPr>
        <w:t>)</w:t>
      </w:r>
      <w:r w:rsidRPr="00C86B07">
        <w:rPr>
          <w:lang w:val="en-GB" w:eastAsia="en-US"/>
        </w:rPr>
        <w:t xml:space="preserve"> after installation of the MX 10S and its control</w:t>
      </w:r>
      <w:r w:rsidR="00C86B07">
        <w:rPr>
          <w:lang w:val="en-GB" w:eastAsia="en-US"/>
        </w:rPr>
        <w:t xml:space="preserve"> </w:t>
      </w:r>
      <w:r w:rsidRPr="00C86B07">
        <w:rPr>
          <w:lang w:val="en-GB" w:eastAsia="en-US"/>
        </w:rPr>
        <w:t>console in the helicopters.</w:t>
      </w:r>
      <w:r w:rsidRPr="00C86B07">
        <w:rPr>
          <w:lang w:val="en-GB"/>
        </w:rPr>
        <w:br/>
      </w:r>
    </w:p>
    <w:p w:rsidR="00BA2705" w:rsidRPr="00C86B07" w:rsidRDefault="00931873">
      <w:pPr>
        <w:jc w:val="both"/>
        <w:rPr>
          <w:lang w:val="en-GB"/>
        </w:rPr>
      </w:pPr>
      <w:r w:rsidRPr="00C86B07">
        <w:rPr>
          <w:lang w:val="en-GB"/>
        </w:rPr>
        <w:t>3.4. The purpose of the Procurement — to conclude a contract in accordance with the technical specification of the Procurement and to receive removal and installation services in two helicopters which comply with the requirements of the CR.</w:t>
      </w:r>
    </w:p>
    <w:p w:rsidR="00BA2705" w:rsidRPr="00C86B07" w:rsidRDefault="00BA2705">
      <w:pPr>
        <w:tabs>
          <w:tab w:val="left" w:pos="540"/>
        </w:tabs>
        <w:jc w:val="both"/>
        <w:rPr>
          <w:lang w:val="en-GB"/>
        </w:rPr>
      </w:pPr>
    </w:p>
    <w:p w:rsidR="00BA2705" w:rsidRPr="00C86B07" w:rsidRDefault="00931873">
      <w:pPr>
        <w:tabs>
          <w:tab w:val="left" w:pos="540"/>
        </w:tabs>
        <w:jc w:val="both"/>
        <w:rPr>
          <w:lang w:val="en-GB"/>
        </w:rPr>
      </w:pPr>
      <w:r w:rsidRPr="00C86B07">
        <w:rPr>
          <w:lang w:val="en-GB"/>
        </w:rPr>
        <w:t>Note: The Candidate shall ensure that only employees (including subcontractor personnel, where engaged) who comply with the reliability and security requirements arising from laws and regulations in the field of critical infrastructure security are involved in the performance of the contract</w:t>
      </w:r>
      <w:r w:rsidRPr="00C86B07">
        <w:rPr>
          <w:rStyle w:val="FootnoteReference"/>
          <w:lang w:val="en-GB"/>
        </w:rPr>
        <w:footnoteReference w:id="1"/>
      </w:r>
      <w:r w:rsidRPr="00C86B07">
        <w:rPr>
          <w:lang w:val="en-GB"/>
        </w:rPr>
        <w:t>.</w:t>
      </w:r>
    </w:p>
    <w:p w:rsidR="00BA2705" w:rsidRPr="00C86B07" w:rsidRDefault="00BA2705">
      <w:pPr>
        <w:jc w:val="both"/>
        <w:rPr>
          <w:lang w:val="en-GB"/>
        </w:rPr>
      </w:pPr>
    </w:p>
    <w:p w:rsidR="00BA2705" w:rsidRPr="00C86B07" w:rsidRDefault="00931873">
      <w:pPr>
        <w:jc w:val="both"/>
        <w:rPr>
          <w:b/>
          <w:lang w:val="en-GB"/>
        </w:rPr>
      </w:pPr>
      <w:r w:rsidRPr="00C86B07">
        <w:rPr>
          <w:b/>
          <w:lang w:val="en-GB"/>
        </w:rPr>
        <w:t>4. Legal and Financial Basis of the Procurement</w:t>
      </w:r>
    </w:p>
    <w:p w:rsidR="00BA2705" w:rsidRPr="00C86B07" w:rsidRDefault="00BA2705">
      <w:pPr>
        <w:tabs>
          <w:tab w:val="left" w:pos="360"/>
        </w:tabs>
        <w:jc w:val="both"/>
        <w:rPr>
          <w:b/>
          <w:lang w:val="en-GB"/>
        </w:rPr>
      </w:pPr>
    </w:p>
    <w:p w:rsidR="00BA2705" w:rsidRPr="00C86B07" w:rsidRDefault="00931873">
      <w:pPr>
        <w:tabs>
          <w:tab w:val="left" w:pos="426"/>
        </w:tabs>
        <w:jc w:val="both"/>
        <w:rPr>
          <w:lang w:val="en-GB"/>
        </w:rPr>
      </w:pPr>
      <w:r w:rsidRPr="00C86B07">
        <w:rPr>
          <w:lang w:val="en-GB"/>
        </w:rPr>
        <w:t>4.1.</w:t>
      </w:r>
      <w:r w:rsidRPr="00C86B07">
        <w:rPr>
          <w:lang w:val="en-GB"/>
        </w:rPr>
        <w:tab/>
        <w:t>The Contracting Authority shall implement the Procurement in accordance with the World Trade Organization Agreement on Government Procurement, the Public Procurement Law, other laws and regulations in force in the Republic of Latvia and these Regulations.</w:t>
      </w:r>
      <w:r w:rsidRPr="00C86B07">
        <w:rPr>
          <w:lang w:val="en-GB"/>
        </w:rPr>
        <w:tab/>
      </w:r>
    </w:p>
    <w:p w:rsidR="00BA2705" w:rsidRPr="00C86B07" w:rsidRDefault="00BA2705">
      <w:pPr>
        <w:tabs>
          <w:tab w:val="left" w:pos="540"/>
        </w:tabs>
        <w:ind w:left="360" w:hanging="360"/>
        <w:jc w:val="both"/>
        <w:rPr>
          <w:lang w:val="en-GB"/>
        </w:rPr>
      </w:pPr>
    </w:p>
    <w:p w:rsidR="00BA2705" w:rsidRPr="00C86B07" w:rsidRDefault="00931873">
      <w:pPr>
        <w:tabs>
          <w:tab w:val="left" w:pos="426"/>
        </w:tabs>
        <w:jc w:val="both"/>
        <w:rPr>
          <w:lang w:val="en-GB"/>
        </w:rPr>
      </w:pPr>
      <w:r w:rsidRPr="00C86B07">
        <w:rPr>
          <w:lang w:val="en-GB"/>
        </w:rPr>
        <w:t xml:space="preserve">4.2. </w:t>
      </w:r>
      <w:r w:rsidRPr="00C86B07">
        <w:rPr>
          <w:lang w:val="en-GB"/>
        </w:rPr>
        <w:tab/>
        <w:t>The Contracting Authority intends to pay for the goods procured from State budget funds.</w:t>
      </w:r>
      <w:r w:rsidRPr="00C86B07">
        <w:rPr>
          <w:lang w:val="en-GB"/>
        </w:rPr>
        <w:tab/>
      </w:r>
    </w:p>
    <w:p w:rsidR="00BA2705" w:rsidRPr="00C86B07" w:rsidRDefault="00BA2705">
      <w:pPr>
        <w:tabs>
          <w:tab w:val="left" w:pos="540"/>
        </w:tabs>
        <w:ind w:left="360" w:hanging="360"/>
        <w:jc w:val="both"/>
        <w:rPr>
          <w:lang w:val="en-GB"/>
        </w:rPr>
      </w:pPr>
    </w:p>
    <w:p w:rsidR="00BA2705" w:rsidRPr="00C86B07" w:rsidRDefault="00931873">
      <w:pPr>
        <w:jc w:val="both"/>
        <w:rPr>
          <w:b/>
          <w:lang w:val="en-GB"/>
        </w:rPr>
      </w:pPr>
      <w:r w:rsidRPr="00C86B07">
        <w:rPr>
          <w:b/>
          <w:lang w:val="en-GB"/>
        </w:rPr>
        <w:t>5. Name, Address and Contact Information of the Contracting Authority</w:t>
      </w:r>
    </w:p>
    <w:p w:rsidR="00BA2705" w:rsidRPr="00C86B07" w:rsidRDefault="00BA2705">
      <w:pPr>
        <w:tabs>
          <w:tab w:val="left" w:pos="360"/>
        </w:tabs>
        <w:jc w:val="both"/>
        <w:rPr>
          <w:b/>
          <w:lang w:val="en-GB"/>
        </w:rPr>
      </w:pPr>
    </w:p>
    <w:p w:rsidR="00BA2705" w:rsidRPr="00C86B07" w:rsidRDefault="00931873">
      <w:pPr>
        <w:tabs>
          <w:tab w:val="left" w:pos="426"/>
        </w:tabs>
        <w:jc w:val="both"/>
        <w:rPr>
          <w:lang w:val="en-GB"/>
        </w:rPr>
      </w:pPr>
      <w:r w:rsidRPr="00C86B07">
        <w:rPr>
          <w:lang w:val="en-GB"/>
        </w:rPr>
        <w:t xml:space="preserve">5.1. </w:t>
      </w:r>
      <w:r w:rsidRPr="00C86B07">
        <w:rPr>
          <w:lang w:val="en-GB"/>
        </w:rPr>
        <w:tab/>
        <w:t>Name of the Contracting Authority — State Border Guard.</w:t>
      </w:r>
      <w:r w:rsidRPr="00C86B07">
        <w:rPr>
          <w:lang w:val="en-GB"/>
        </w:rPr>
        <w:tab/>
      </w:r>
    </w:p>
    <w:p w:rsidR="00BA2705" w:rsidRPr="00C86B07" w:rsidRDefault="00BA2705">
      <w:pPr>
        <w:tabs>
          <w:tab w:val="left" w:pos="540"/>
        </w:tabs>
        <w:ind w:left="360" w:hanging="360"/>
        <w:jc w:val="both"/>
        <w:rPr>
          <w:lang w:val="en-GB"/>
        </w:rPr>
      </w:pPr>
    </w:p>
    <w:p w:rsidR="00BA2705" w:rsidRPr="00C86B07" w:rsidRDefault="00931873">
      <w:pPr>
        <w:jc w:val="both"/>
        <w:rPr>
          <w:lang w:val="en-GB"/>
        </w:rPr>
      </w:pPr>
      <w:r w:rsidRPr="00C86B07">
        <w:rPr>
          <w:lang w:val="en-GB"/>
        </w:rPr>
        <w:t xml:space="preserve">5.2. Address of the Contracting Authority — 5 </w:t>
      </w:r>
      <w:proofErr w:type="spellStart"/>
      <w:r w:rsidRPr="00C86B07">
        <w:rPr>
          <w:lang w:val="en-GB"/>
        </w:rPr>
        <w:t>Rūdolfa</w:t>
      </w:r>
      <w:proofErr w:type="spellEnd"/>
      <w:r w:rsidRPr="00C86B07">
        <w:rPr>
          <w:lang w:val="en-GB"/>
        </w:rPr>
        <w:t xml:space="preserve"> Street, Riga, Latvia (LV-1012).</w:t>
      </w:r>
    </w:p>
    <w:p w:rsidR="00BA2705" w:rsidRPr="00C86B07" w:rsidRDefault="00BA2705">
      <w:pPr>
        <w:jc w:val="both"/>
        <w:rPr>
          <w:lang w:val="en-GB"/>
        </w:rPr>
      </w:pPr>
    </w:p>
    <w:p w:rsidR="00BA2705" w:rsidRPr="00C86B07" w:rsidRDefault="00931873">
      <w:pPr>
        <w:jc w:val="both"/>
        <w:rPr>
          <w:lang w:val="en-GB"/>
        </w:rPr>
      </w:pPr>
      <w:r w:rsidRPr="00C86B07">
        <w:rPr>
          <w:lang w:val="en-GB"/>
        </w:rPr>
        <w:t>5.3. Structural unit of the State Border Guard which conducts the Procurement for the needs of the Contracting Authority: Aviation and Special Operations Board of the State Border Guard, address: “</w:t>
      </w:r>
      <w:proofErr w:type="spellStart"/>
      <w:r w:rsidRPr="00C86B07">
        <w:rPr>
          <w:lang w:val="en-GB"/>
        </w:rPr>
        <w:t>Jaunsmilgas</w:t>
      </w:r>
      <w:proofErr w:type="spellEnd"/>
      <w:r w:rsidRPr="00C86B07">
        <w:rPr>
          <w:lang w:val="en-GB"/>
        </w:rPr>
        <w:t xml:space="preserve">”, </w:t>
      </w:r>
      <w:proofErr w:type="spellStart"/>
      <w:r w:rsidRPr="00C86B07">
        <w:rPr>
          <w:lang w:val="en-GB"/>
        </w:rPr>
        <w:t>Runtorta</w:t>
      </w:r>
      <w:proofErr w:type="spellEnd"/>
      <w:r w:rsidRPr="00C86B07">
        <w:rPr>
          <w:lang w:val="en-GB"/>
        </w:rPr>
        <w:t xml:space="preserve">, </w:t>
      </w:r>
      <w:proofErr w:type="spellStart"/>
      <w:r w:rsidRPr="00C86B07">
        <w:rPr>
          <w:lang w:val="en-GB"/>
        </w:rPr>
        <w:t>Isnauda</w:t>
      </w:r>
      <w:proofErr w:type="spellEnd"/>
      <w:r w:rsidRPr="00C86B07">
        <w:rPr>
          <w:lang w:val="en-GB"/>
        </w:rPr>
        <w:t xml:space="preserve"> Parish, </w:t>
      </w:r>
      <w:proofErr w:type="spellStart"/>
      <w:r w:rsidRPr="00C86B07">
        <w:rPr>
          <w:lang w:val="en-GB"/>
        </w:rPr>
        <w:t>Ludza</w:t>
      </w:r>
      <w:proofErr w:type="spellEnd"/>
      <w:r w:rsidRPr="00C86B07">
        <w:rPr>
          <w:lang w:val="en-GB"/>
        </w:rPr>
        <w:t xml:space="preserve"> Municipality, Latvia (LV-5701), telephone: (+371) 67209716, e-mail: asop@rs.gov.lv.</w:t>
      </w:r>
    </w:p>
    <w:p w:rsidR="00BA2705" w:rsidRPr="00C86B07" w:rsidRDefault="00BA2705">
      <w:pPr>
        <w:jc w:val="both"/>
        <w:rPr>
          <w:lang w:val="en-GB"/>
        </w:rPr>
      </w:pPr>
    </w:p>
    <w:p w:rsidR="00BA2705" w:rsidRPr="00C86B07" w:rsidRDefault="00931873">
      <w:pPr>
        <w:jc w:val="both"/>
        <w:rPr>
          <w:b/>
          <w:lang w:val="en-GB"/>
        </w:rPr>
      </w:pPr>
      <w:r w:rsidRPr="00C86B07">
        <w:rPr>
          <w:b/>
          <w:lang w:val="en-GB"/>
        </w:rPr>
        <w:t>6. Contact Persons of the Contracting Authority</w:t>
      </w:r>
    </w:p>
    <w:p w:rsidR="00BA2705" w:rsidRPr="00C86B07" w:rsidRDefault="00BA2705">
      <w:pPr>
        <w:tabs>
          <w:tab w:val="left" w:pos="360"/>
        </w:tabs>
        <w:jc w:val="both"/>
        <w:rPr>
          <w:b/>
          <w:lang w:val="en-GB"/>
        </w:rPr>
      </w:pPr>
    </w:p>
    <w:p w:rsidR="00BA2705" w:rsidRPr="00C86B07" w:rsidRDefault="00931873">
      <w:pPr>
        <w:tabs>
          <w:tab w:val="left" w:pos="360"/>
        </w:tabs>
        <w:jc w:val="both"/>
        <w:rPr>
          <w:lang w:val="en-GB"/>
        </w:rPr>
      </w:pPr>
      <w:r w:rsidRPr="00C86B07">
        <w:rPr>
          <w:lang w:val="en-GB"/>
        </w:rPr>
        <w:t>Organisational matters related to the Procurement shall be handled by the following contact persons of the Contracting Authority:</w:t>
      </w:r>
    </w:p>
    <w:p w:rsidR="00BA2705" w:rsidRPr="00C86B07" w:rsidRDefault="00931873">
      <w:pPr>
        <w:numPr>
          <w:ilvl w:val="0"/>
          <w:numId w:val="2"/>
        </w:numPr>
        <w:ind w:left="0" w:firstLine="0"/>
        <w:jc w:val="both"/>
        <w:rPr>
          <w:lang w:val="en-GB"/>
        </w:rPr>
      </w:pPr>
      <w:r w:rsidRPr="00C86B07">
        <w:rPr>
          <w:lang w:val="en-GB"/>
        </w:rPr>
        <w:t xml:space="preserve"> Deputy Head of the Aviation and Special Operations Board of the State Border Guard (aviation matters), Ivans Ivanovs, telephone: (+371) 67209727, e-mail: ivans.ivanovs@rs.gov.lv;</w:t>
      </w:r>
    </w:p>
    <w:p w:rsidR="00BA2705" w:rsidRPr="00C86B07" w:rsidRDefault="00931873">
      <w:pPr>
        <w:numPr>
          <w:ilvl w:val="0"/>
          <w:numId w:val="2"/>
        </w:numPr>
        <w:ind w:left="0" w:firstLine="0"/>
        <w:jc w:val="both"/>
        <w:rPr>
          <w:lang w:val="en-GB"/>
        </w:rPr>
      </w:pPr>
      <w:r w:rsidRPr="00C86B07">
        <w:rPr>
          <w:lang w:val="en-GB"/>
        </w:rPr>
        <w:t xml:space="preserve"> Senior Procurement Specialist of the Aerodrome Operations and Armament Service of the Aviation and Special Operations Board of the State Border Guard, Daina Misāne, telephone: (+371) 67209722, e-mail: </w:t>
      </w:r>
      <w:hyperlink r:id="rId7">
        <w:r w:rsidRPr="00C86B07">
          <w:rPr>
            <w:rStyle w:val="Hyperlink"/>
            <w:lang w:val="en-GB"/>
          </w:rPr>
          <w:t>daina.misane@rs.gov.lv</w:t>
        </w:r>
      </w:hyperlink>
      <w:r w:rsidRPr="00C86B07">
        <w:rPr>
          <w:lang w:val="en-GB"/>
        </w:rPr>
        <w:t>.</w:t>
      </w:r>
    </w:p>
    <w:p w:rsidR="00BA2705" w:rsidRPr="00C86B07" w:rsidRDefault="00BA2705">
      <w:pPr>
        <w:tabs>
          <w:tab w:val="left" w:pos="360"/>
        </w:tabs>
        <w:jc w:val="both"/>
        <w:rPr>
          <w:lang w:val="en-GB"/>
        </w:rPr>
      </w:pPr>
    </w:p>
    <w:p w:rsidR="00BA2705" w:rsidRPr="00C86B07" w:rsidRDefault="00931873">
      <w:pPr>
        <w:tabs>
          <w:tab w:val="left" w:pos="360"/>
        </w:tabs>
        <w:jc w:val="center"/>
        <w:rPr>
          <w:b/>
          <w:lang w:val="en-GB"/>
        </w:rPr>
      </w:pPr>
      <w:r w:rsidRPr="00C86B07">
        <w:rPr>
          <w:b/>
          <w:lang w:val="en-GB"/>
        </w:rPr>
        <w:t>Chapter II.</w:t>
      </w:r>
    </w:p>
    <w:p w:rsidR="00BA2705" w:rsidRPr="00C86B07" w:rsidRDefault="00931873">
      <w:pPr>
        <w:tabs>
          <w:tab w:val="left" w:pos="360"/>
        </w:tabs>
        <w:ind w:left="540"/>
        <w:jc w:val="center"/>
        <w:rPr>
          <w:lang w:val="en-GB"/>
        </w:rPr>
      </w:pPr>
      <w:r w:rsidRPr="00C86B07">
        <w:rPr>
          <w:b/>
          <w:lang w:val="en-GB"/>
        </w:rPr>
        <w:lastRenderedPageBreak/>
        <w:t>Stages of the Procurement and Selection Requirements for Candidates</w:t>
      </w:r>
    </w:p>
    <w:p w:rsidR="00BA2705" w:rsidRPr="00C86B07" w:rsidRDefault="00BA2705">
      <w:pPr>
        <w:tabs>
          <w:tab w:val="left" w:pos="360"/>
        </w:tabs>
        <w:jc w:val="center"/>
        <w:rPr>
          <w:b/>
          <w:lang w:val="en-GB"/>
        </w:rPr>
      </w:pPr>
    </w:p>
    <w:p w:rsidR="00BA2705" w:rsidRPr="00C86B07" w:rsidRDefault="00931873">
      <w:pPr>
        <w:tabs>
          <w:tab w:val="left" w:pos="360"/>
        </w:tabs>
        <w:rPr>
          <w:b/>
          <w:lang w:val="en-GB"/>
        </w:rPr>
      </w:pPr>
      <w:r w:rsidRPr="00C86B07">
        <w:rPr>
          <w:b/>
          <w:lang w:val="en-GB"/>
        </w:rPr>
        <w:t>7. Stages of the Procurement and Content of Applications and Tenders</w:t>
      </w:r>
    </w:p>
    <w:p w:rsidR="00BA2705" w:rsidRPr="00C86B07" w:rsidRDefault="00BA2705">
      <w:pPr>
        <w:tabs>
          <w:tab w:val="left" w:pos="360"/>
        </w:tabs>
        <w:rPr>
          <w:b/>
          <w:lang w:val="en-GB"/>
        </w:rPr>
      </w:pPr>
    </w:p>
    <w:p w:rsidR="00BA2705" w:rsidRPr="00C86B07" w:rsidRDefault="00931873">
      <w:pPr>
        <w:numPr>
          <w:ilvl w:val="1"/>
          <w:numId w:val="6"/>
        </w:numPr>
        <w:tabs>
          <w:tab w:val="clear" w:pos="720"/>
          <w:tab w:val="left" w:pos="567"/>
        </w:tabs>
        <w:ind w:left="0" w:firstLine="0"/>
        <w:jc w:val="both"/>
        <w:rPr>
          <w:lang w:val="en-GB"/>
        </w:rPr>
      </w:pPr>
      <w:r w:rsidRPr="00C86B07">
        <w:rPr>
          <w:lang w:val="en-GB"/>
        </w:rPr>
        <w:t>The first stage of the Procurement is the submission of Applications by Candidates, followed by the selection of Candidates.</w:t>
      </w:r>
    </w:p>
    <w:p w:rsidR="00BA2705" w:rsidRPr="00C86B07" w:rsidRDefault="00BA2705">
      <w:pPr>
        <w:jc w:val="both"/>
        <w:rPr>
          <w:lang w:val="en-GB"/>
        </w:rPr>
      </w:pPr>
    </w:p>
    <w:p w:rsidR="00BA2705" w:rsidRPr="00C86B07" w:rsidRDefault="00931873">
      <w:pPr>
        <w:numPr>
          <w:ilvl w:val="1"/>
          <w:numId w:val="6"/>
        </w:numPr>
        <w:tabs>
          <w:tab w:val="clear" w:pos="720"/>
          <w:tab w:val="left" w:pos="567"/>
        </w:tabs>
        <w:ind w:left="0" w:firstLine="0"/>
        <w:jc w:val="both"/>
        <w:rPr>
          <w:lang w:val="en-GB"/>
        </w:rPr>
      </w:pPr>
      <w:r w:rsidRPr="00C86B07">
        <w:rPr>
          <w:lang w:val="en-GB"/>
        </w:rPr>
        <w:t>The Candidate shall submit the Application to the Contracting Authority electronically — in the Procurement section of the E-Tenders System. The Candidate shall submit the Application to the Contracting Authority by expiry of the time limit laid down in Clause 14 of the Regulations. Applications shall not be accepted after that time limit.</w:t>
      </w:r>
    </w:p>
    <w:p w:rsidR="00BA2705" w:rsidRPr="00C86B07" w:rsidRDefault="00BA2705">
      <w:pPr>
        <w:jc w:val="both"/>
        <w:rPr>
          <w:lang w:val="en-GB"/>
        </w:rPr>
      </w:pPr>
    </w:p>
    <w:p w:rsidR="00BA2705" w:rsidRPr="00C86B07" w:rsidRDefault="00931873">
      <w:pPr>
        <w:numPr>
          <w:ilvl w:val="1"/>
          <w:numId w:val="6"/>
        </w:numPr>
        <w:tabs>
          <w:tab w:val="clear" w:pos="720"/>
          <w:tab w:val="left" w:pos="567"/>
        </w:tabs>
        <w:ind w:left="0" w:firstLine="0"/>
        <w:jc w:val="both"/>
        <w:rPr>
          <w:lang w:val="en-GB"/>
        </w:rPr>
      </w:pPr>
      <w:r w:rsidRPr="00C86B07">
        <w:rPr>
          <w:lang w:val="en-GB" w:eastAsia="en-US"/>
        </w:rPr>
        <w:t>The Candidate’s Application shall consist of the documents specified in Clauses 11 and 12 of the Regulations.</w:t>
      </w:r>
    </w:p>
    <w:p w:rsidR="00BA2705" w:rsidRPr="00C86B07" w:rsidRDefault="00BA2705">
      <w:pPr>
        <w:jc w:val="both"/>
        <w:rPr>
          <w:lang w:val="en-GB"/>
        </w:rPr>
      </w:pPr>
    </w:p>
    <w:p w:rsidR="00BA2705" w:rsidRPr="00C86B07" w:rsidRDefault="00931873">
      <w:pPr>
        <w:numPr>
          <w:ilvl w:val="1"/>
          <w:numId w:val="6"/>
        </w:numPr>
        <w:tabs>
          <w:tab w:val="clear" w:pos="720"/>
          <w:tab w:val="left" w:pos="567"/>
        </w:tabs>
        <w:ind w:left="0" w:firstLine="0"/>
        <w:jc w:val="both"/>
        <w:rPr>
          <w:lang w:val="en-GB"/>
        </w:rPr>
      </w:pPr>
      <w:r w:rsidRPr="00C86B07">
        <w:rPr>
          <w:lang w:val="en-GB" w:eastAsia="en-US"/>
        </w:rPr>
        <w:t>The second stage of the Procurement is the submission of initial tenders by Tenderers</w:t>
      </w:r>
      <w:r w:rsidRPr="00C86B07">
        <w:rPr>
          <w:rStyle w:val="FootnoteReference"/>
          <w:lang w:val="en-GB" w:eastAsia="en-US"/>
        </w:rPr>
        <w:footnoteReference w:id="2"/>
      </w:r>
      <w:r w:rsidRPr="00C86B07">
        <w:rPr>
          <w:lang w:val="en-GB" w:eastAsia="en-US"/>
        </w:rPr>
        <w:t xml:space="preserve"> upon the written invitation of the Contracting Authority, as well as the evaluation of the initial tenders and achievement of the purpose of the Procurement. Following evaluation of the initial tenders, the Commission may decide to award the right to conclude the contract if the tenders comply with the requirements set by the Contracting Authority and do not need to be improved. If the Contracting Authority establishes that the content of the initial tenders needs to be improved, it shall conduct negotiations with the Tenderers with the aim of achieving the purpose of the Procurement.</w:t>
      </w:r>
    </w:p>
    <w:p w:rsidR="00BA2705" w:rsidRPr="00C86B07" w:rsidRDefault="00931873">
      <w:pPr>
        <w:numPr>
          <w:ilvl w:val="1"/>
          <w:numId w:val="6"/>
        </w:numPr>
        <w:tabs>
          <w:tab w:val="clear" w:pos="720"/>
          <w:tab w:val="left" w:pos="567"/>
        </w:tabs>
        <w:ind w:left="0" w:firstLine="0"/>
        <w:jc w:val="both"/>
        <w:rPr>
          <w:lang w:val="en-GB"/>
        </w:rPr>
      </w:pPr>
      <w:r w:rsidRPr="00C86B07">
        <w:rPr>
          <w:lang w:val="en-GB" w:eastAsia="en-US"/>
        </w:rPr>
        <w:t>The Tenderer shall submit the initial tender within the time limit specified in the invitation letter of the Contracting Authority, which shall not be shorter than that laid down in laws and regulations</w:t>
      </w:r>
      <w:r w:rsidRPr="00C86B07">
        <w:rPr>
          <w:rStyle w:val="FootnoteReference"/>
          <w:lang w:val="en-GB" w:eastAsia="en-US"/>
        </w:rPr>
        <w:footnoteReference w:id="3"/>
      </w:r>
      <w:r w:rsidRPr="00C86B07">
        <w:rPr>
          <w:lang w:val="en-GB" w:eastAsia="en-US"/>
        </w:rPr>
        <w:t>.</w:t>
      </w:r>
    </w:p>
    <w:p w:rsidR="00BA2705" w:rsidRPr="00C86B07" w:rsidRDefault="00BA2705">
      <w:pPr>
        <w:jc w:val="both"/>
        <w:rPr>
          <w:lang w:val="en-GB"/>
        </w:rPr>
      </w:pPr>
    </w:p>
    <w:p w:rsidR="00BA2705" w:rsidRPr="00C86B07" w:rsidRDefault="00931873">
      <w:pPr>
        <w:numPr>
          <w:ilvl w:val="1"/>
          <w:numId w:val="6"/>
        </w:numPr>
        <w:tabs>
          <w:tab w:val="clear" w:pos="720"/>
          <w:tab w:val="left" w:pos="567"/>
        </w:tabs>
        <w:ind w:left="0" w:firstLine="0"/>
        <w:jc w:val="both"/>
        <w:rPr>
          <w:lang w:val="en-GB"/>
        </w:rPr>
      </w:pPr>
      <w:r w:rsidRPr="00C86B07">
        <w:rPr>
          <w:lang w:val="en-GB" w:eastAsia="en-US"/>
        </w:rPr>
        <w:t>The initial tender of the Tenderer shall consist of the initial technical and financial tenders in accordance with the invitation letter of the Contracting Authority.</w:t>
      </w:r>
    </w:p>
    <w:p w:rsidR="00BA2705" w:rsidRPr="00C86B07" w:rsidRDefault="00BA2705">
      <w:pPr>
        <w:pStyle w:val="Outline2limenis"/>
        <w:spacing w:after="0"/>
        <w:rPr>
          <w:lang w:val="en-GB"/>
        </w:rPr>
      </w:pPr>
    </w:p>
    <w:p w:rsidR="00BA2705" w:rsidRPr="00C86B07" w:rsidRDefault="00931873">
      <w:pPr>
        <w:numPr>
          <w:ilvl w:val="0"/>
          <w:numId w:val="6"/>
        </w:numPr>
        <w:tabs>
          <w:tab w:val="left" w:pos="360"/>
        </w:tabs>
        <w:jc w:val="both"/>
        <w:rPr>
          <w:b/>
          <w:lang w:val="en-GB"/>
        </w:rPr>
      </w:pPr>
      <w:r w:rsidRPr="00C86B07">
        <w:rPr>
          <w:b/>
          <w:lang w:val="en-GB"/>
        </w:rPr>
        <w:t>Procedure for Conducting Negotiations</w:t>
      </w:r>
    </w:p>
    <w:p w:rsidR="00BA2705" w:rsidRPr="00C86B07" w:rsidRDefault="00BA2705">
      <w:pPr>
        <w:tabs>
          <w:tab w:val="left" w:pos="360"/>
        </w:tabs>
        <w:ind w:left="420"/>
        <w:jc w:val="both"/>
        <w:rPr>
          <w:b/>
          <w:lang w:val="en-GB"/>
        </w:rPr>
      </w:pPr>
    </w:p>
    <w:p w:rsidR="00BA2705" w:rsidRPr="00C86B07" w:rsidRDefault="00931873">
      <w:pPr>
        <w:tabs>
          <w:tab w:val="left" w:pos="360"/>
        </w:tabs>
        <w:jc w:val="both"/>
        <w:rPr>
          <w:lang w:val="en-GB"/>
        </w:rPr>
      </w:pPr>
      <w:r w:rsidRPr="00C86B07">
        <w:rPr>
          <w:lang w:val="en-GB"/>
        </w:rPr>
        <w:t>8.1. After expiry of the time limit for submission of initial tenders and evaluation of the initial tenders in closed meetings, the Contracting Authority shall commence negotiations with the Tenderers.</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8.2. The Tenderer may delegate one or more representatives for negotiations with the Contracting Authority. Upon attending the negotiations, the representatives of the Tenderer shall submit to the Contracting Authority documents certifying their authority to represent the Tenderer in negotiations with the Contracting Authority.</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8.3. The Contracting Authority shall indicate the provisional dates for conducting negotiations in the invitation to submit initial tenders. The Contracting Authority shall conduct negotiations with each Tenderer separately. At its discretion, the Contracting Authority shall conduct negotiations with a Tenderer once or several times. The Contracting Authority shall inform the Tenderer of the commencement time of each subsequent negotiation at least four days in advance by sending a notice to the e-mail address of the Tenderer’s representative and, at the same time, contacting the Tenderer’s representative by telephone.</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8.4. Both the first negotiations and each subsequent negotiation shall last as long as the Contracting Authority considers necessary, but not longer than three consecutive days. Negotiations shall take place each day from 09:00 to 12:00 and from 13:00 to 16:00. Negotiations may be held at another time only where the representatives of the Contracting Authority and the Tenderer participating in the negotiations have separately agreed thereon.</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8.5. All negotiations shall take place on the premises of the Contracting Authority — the place of negotiations shall be “</w:t>
      </w:r>
      <w:proofErr w:type="spellStart"/>
      <w:r w:rsidRPr="00C86B07">
        <w:rPr>
          <w:lang w:val="en-GB"/>
        </w:rPr>
        <w:t>Jaunsmilgas</w:t>
      </w:r>
      <w:proofErr w:type="spellEnd"/>
      <w:r w:rsidRPr="00C86B07">
        <w:rPr>
          <w:lang w:val="en-GB"/>
        </w:rPr>
        <w:t xml:space="preserve">”, </w:t>
      </w:r>
      <w:proofErr w:type="spellStart"/>
      <w:r w:rsidRPr="00C86B07">
        <w:rPr>
          <w:lang w:val="en-GB"/>
        </w:rPr>
        <w:t>Runtorta</w:t>
      </w:r>
      <w:proofErr w:type="spellEnd"/>
      <w:r w:rsidRPr="00C86B07">
        <w:rPr>
          <w:lang w:val="en-GB"/>
        </w:rPr>
        <w:t xml:space="preserve">, </w:t>
      </w:r>
      <w:proofErr w:type="spellStart"/>
      <w:r w:rsidRPr="00C86B07">
        <w:rPr>
          <w:lang w:val="en-GB"/>
        </w:rPr>
        <w:t>Isnauda</w:t>
      </w:r>
      <w:proofErr w:type="spellEnd"/>
      <w:r w:rsidRPr="00C86B07">
        <w:rPr>
          <w:lang w:val="en-GB"/>
        </w:rPr>
        <w:t xml:space="preserve"> Parish, </w:t>
      </w:r>
      <w:proofErr w:type="spellStart"/>
      <w:r w:rsidRPr="00C86B07">
        <w:rPr>
          <w:lang w:val="en-GB"/>
        </w:rPr>
        <w:t>Ludza</w:t>
      </w:r>
      <w:proofErr w:type="spellEnd"/>
      <w:r w:rsidRPr="00C86B07">
        <w:rPr>
          <w:lang w:val="en-GB"/>
        </w:rPr>
        <w:t xml:space="preserve"> Municipality (Aviation and Special Operations Board of the State Border Guard), or by videoconference, with the videoconferencing software to be mutually agreed by the Contracting Authority and the Tenderer.</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8.6. All negotiations shall be conducted in English or Latvian. If the representatives of the Tenderer participating in the negotiations do not have command of English or Latvian, the Tenderer and the Contracting Authority shall agree on the provision of an interpreter.</w:t>
      </w:r>
    </w:p>
    <w:p w:rsidR="00BA2705" w:rsidRPr="00C86B07" w:rsidRDefault="00BA2705">
      <w:pPr>
        <w:tabs>
          <w:tab w:val="left" w:pos="360"/>
        </w:tabs>
        <w:ind w:left="420"/>
        <w:jc w:val="both"/>
        <w:rPr>
          <w:b/>
          <w:lang w:val="en-GB"/>
        </w:rPr>
      </w:pPr>
    </w:p>
    <w:p w:rsidR="00BA2705" w:rsidRPr="00C86B07" w:rsidRDefault="00931873">
      <w:pPr>
        <w:tabs>
          <w:tab w:val="left" w:pos="360"/>
        </w:tabs>
        <w:jc w:val="both"/>
        <w:rPr>
          <w:lang w:val="en-GB"/>
        </w:rPr>
      </w:pPr>
      <w:r w:rsidRPr="00C86B07">
        <w:rPr>
          <w:b/>
          <w:lang w:val="en-GB"/>
        </w:rPr>
        <w:t>9. Content of Negotiations</w:t>
      </w:r>
    </w:p>
    <w:p w:rsidR="00BA2705" w:rsidRPr="00C86B07" w:rsidRDefault="00BA2705">
      <w:pPr>
        <w:tabs>
          <w:tab w:val="left" w:pos="360"/>
        </w:tabs>
        <w:ind w:left="420"/>
        <w:jc w:val="both"/>
        <w:rPr>
          <w:b/>
          <w:lang w:val="en-GB"/>
        </w:rPr>
      </w:pPr>
    </w:p>
    <w:p w:rsidR="00BA2705" w:rsidRPr="00C86B07" w:rsidRDefault="00931873">
      <w:pPr>
        <w:tabs>
          <w:tab w:val="left" w:pos="360"/>
        </w:tabs>
        <w:jc w:val="both"/>
        <w:rPr>
          <w:lang w:val="en-GB"/>
        </w:rPr>
      </w:pPr>
      <w:r w:rsidRPr="00C86B07">
        <w:rPr>
          <w:lang w:val="en-GB"/>
        </w:rPr>
        <w:t>9.1. Within the negotiations:</w:t>
      </w:r>
    </w:p>
    <w:p w:rsidR="00BA2705" w:rsidRPr="00C86B07" w:rsidRDefault="00931873">
      <w:pPr>
        <w:numPr>
          <w:ilvl w:val="2"/>
          <w:numId w:val="3"/>
        </w:numPr>
        <w:tabs>
          <w:tab w:val="left" w:pos="993"/>
        </w:tabs>
        <w:ind w:left="1134" w:hanging="708"/>
        <w:jc w:val="both"/>
        <w:rPr>
          <w:lang w:val="en-GB"/>
        </w:rPr>
      </w:pPr>
      <w:r w:rsidRPr="00C86B07">
        <w:rPr>
          <w:lang w:val="en-GB"/>
        </w:rPr>
        <w:t xml:space="preserve"> the Contracting Authority shall discuss with the Tenderer the initial tender submitted by it in order to ensure that the final tender of the Tenderer complies with all requirements set by the Contracting Authority;</w:t>
      </w:r>
    </w:p>
    <w:p w:rsidR="00BA2705" w:rsidRPr="00C86B07" w:rsidRDefault="00931873">
      <w:pPr>
        <w:numPr>
          <w:ilvl w:val="2"/>
          <w:numId w:val="3"/>
        </w:numPr>
        <w:tabs>
          <w:tab w:val="left" w:pos="993"/>
        </w:tabs>
        <w:ind w:left="1134" w:hanging="708"/>
        <w:jc w:val="both"/>
        <w:rPr>
          <w:lang w:val="en-GB"/>
        </w:rPr>
      </w:pPr>
      <w:r w:rsidRPr="00C86B07">
        <w:rPr>
          <w:lang w:val="en-GB"/>
        </w:rPr>
        <w:t xml:space="preserve"> the Contracting Authority shall discuss with the Tenderer the possibility of amending, in the final technical specification, the requirements provided for in the initial technical specification which do not alter the substance of the Procurement;</w:t>
      </w:r>
    </w:p>
    <w:p w:rsidR="00BA2705" w:rsidRPr="00C86B07" w:rsidRDefault="00931873">
      <w:pPr>
        <w:numPr>
          <w:ilvl w:val="2"/>
          <w:numId w:val="3"/>
        </w:numPr>
        <w:tabs>
          <w:tab w:val="left" w:pos="993"/>
        </w:tabs>
        <w:ind w:left="1134" w:hanging="708"/>
        <w:jc w:val="both"/>
        <w:rPr>
          <w:lang w:val="en-GB"/>
        </w:rPr>
      </w:pPr>
      <w:r w:rsidRPr="00C86B07">
        <w:rPr>
          <w:lang w:val="en-GB"/>
        </w:rPr>
        <w:t>the Contracting Authority shall discuss with the Tenderer the possibility of amending, in the final draft contract, the provisions provided for in the initial draft contract.</w:t>
      </w:r>
    </w:p>
    <w:p w:rsidR="00BA2705" w:rsidRPr="00C86B07" w:rsidRDefault="00BA2705">
      <w:pPr>
        <w:pStyle w:val="Outline2limenis"/>
        <w:spacing w:after="0"/>
        <w:ind w:left="748"/>
        <w:rPr>
          <w:lang w:val="en-GB"/>
        </w:rPr>
      </w:pPr>
    </w:p>
    <w:p w:rsidR="00BA2705" w:rsidRPr="00C86B07" w:rsidRDefault="00931873">
      <w:pPr>
        <w:pStyle w:val="Outline2limenis"/>
        <w:numPr>
          <w:ilvl w:val="1"/>
          <w:numId w:val="3"/>
        </w:numPr>
        <w:ind w:hanging="750"/>
        <w:rPr>
          <w:lang w:val="en-GB"/>
        </w:rPr>
      </w:pPr>
      <w:r w:rsidRPr="00C86B07">
        <w:rPr>
          <w:lang w:val="en-GB"/>
        </w:rPr>
        <w:t xml:space="preserve"> If the Commission plans to conclude the negotiations, it shall inform the Tenderers by an invitation letter and shall set a common time limit for submission of final tenders.</w:t>
      </w:r>
    </w:p>
    <w:p w:rsidR="00BA2705" w:rsidRPr="00C86B07" w:rsidRDefault="00931873">
      <w:pPr>
        <w:numPr>
          <w:ilvl w:val="0"/>
          <w:numId w:val="3"/>
        </w:numPr>
        <w:tabs>
          <w:tab w:val="left" w:pos="360"/>
        </w:tabs>
        <w:rPr>
          <w:b/>
          <w:lang w:val="en-GB"/>
        </w:rPr>
      </w:pPr>
      <w:r w:rsidRPr="00C86B07">
        <w:rPr>
          <w:b/>
          <w:lang w:val="en-GB"/>
        </w:rPr>
        <w:t>Selection Requirements for Candidates</w:t>
      </w:r>
    </w:p>
    <w:p w:rsidR="00BA2705" w:rsidRPr="00C86B07" w:rsidRDefault="00BA2705">
      <w:pPr>
        <w:tabs>
          <w:tab w:val="left" w:pos="360"/>
        </w:tabs>
        <w:rPr>
          <w:b/>
          <w:lang w:val="en-GB"/>
        </w:rPr>
      </w:pPr>
    </w:p>
    <w:p w:rsidR="00BA2705" w:rsidRPr="00C86B07" w:rsidRDefault="00931873">
      <w:pPr>
        <w:tabs>
          <w:tab w:val="left" w:pos="360"/>
        </w:tabs>
        <w:jc w:val="both"/>
        <w:rPr>
          <w:lang w:val="en-GB"/>
        </w:rPr>
      </w:pPr>
      <w:r w:rsidRPr="00C86B07">
        <w:rPr>
          <w:lang w:val="en-GB"/>
        </w:rPr>
        <w:t>A Candidate may participate in the Procurement if it complies with the qualification requirements set out in the Regulations and is not subject to the grounds for exclusion of Suppliers from participation in a procurement procedure provided for in Section 42, Paragraph two, Clauses 1, 2, 3, 4, 5, 6, 7, 10, 11, 12, 13 and 14 of the Public Procurement Law, unless any of the conditions laid down in Section 42, Paragraph four, Clause 1, 2, 3 or 4 of the Public Procurement Law has occurred.</w:t>
      </w:r>
    </w:p>
    <w:p w:rsidR="00BA2705" w:rsidRPr="00C86B07" w:rsidRDefault="00BA2705">
      <w:pPr>
        <w:tabs>
          <w:tab w:val="left" w:pos="360"/>
        </w:tabs>
        <w:ind w:firstLine="720"/>
        <w:jc w:val="both"/>
        <w:rPr>
          <w:lang w:val="en-GB"/>
        </w:rPr>
      </w:pPr>
    </w:p>
    <w:p w:rsidR="00BA2705" w:rsidRPr="00C86B07" w:rsidRDefault="00931873">
      <w:pPr>
        <w:rPr>
          <w:b/>
          <w:lang w:val="en-GB"/>
        </w:rPr>
      </w:pPr>
      <w:r w:rsidRPr="00C86B07">
        <w:rPr>
          <w:b/>
          <w:lang w:val="en-GB"/>
        </w:rPr>
        <w:t>11. Application for Participation in the Procurement</w:t>
      </w:r>
    </w:p>
    <w:p w:rsidR="00BA2705" w:rsidRPr="00C86B07" w:rsidRDefault="00BA2705">
      <w:pPr>
        <w:tabs>
          <w:tab w:val="left" w:pos="360"/>
        </w:tabs>
        <w:jc w:val="both"/>
        <w:rPr>
          <w:b/>
          <w:lang w:val="en-GB"/>
        </w:rPr>
      </w:pPr>
    </w:p>
    <w:p w:rsidR="00BA2705" w:rsidRPr="00C86B07" w:rsidRDefault="00931873">
      <w:pPr>
        <w:tabs>
          <w:tab w:val="left" w:pos="360"/>
        </w:tabs>
        <w:jc w:val="both"/>
        <w:rPr>
          <w:lang w:val="en-GB"/>
        </w:rPr>
      </w:pPr>
      <w:r w:rsidRPr="00C86B07">
        <w:rPr>
          <w:lang w:val="en-GB"/>
        </w:rPr>
        <w:t xml:space="preserve">In order to express its intention to participate in the Procurement, the Candidate shall submit to the Contracting Authority an Application for participation in the Procurement, prepared by the Candidate in accordance with the form set out in Annex 1 to the Regulations. If the Candidate is an association of Suppliers, it shall </w:t>
      </w:r>
      <w:proofErr w:type="gramStart"/>
      <w:r w:rsidRPr="00C86B07">
        <w:rPr>
          <w:lang w:val="en-GB"/>
        </w:rPr>
        <w:t>submit an Application</w:t>
      </w:r>
      <w:proofErr w:type="gramEnd"/>
      <w:r w:rsidRPr="00C86B07">
        <w:rPr>
          <w:rStyle w:val="FootnoteReference"/>
          <w:lang w:val="en-GB"/>
        </w:rPr>
        <w:footnoteReference w:id="4"/>
      </w:r>
      <w:r w:rsidRPr="00C86B07">
        <w:rPr>
          <w:lang w:val="en-GB"/>
        </w:rPr>
        <w:t xml:space="preserve"> signed by all members of the association of Suppliers or by one member whom the other members have authorised to sign the Application, attaching the authorisations.</w:t>
      </w:r>
    </w:p>
    <w:p w:rsidR="00BA2705" w:rsidRPr="00C86B07" w:rsidRDefault="00BA2705">
      <w:pPr>
        <w:tabs>
          <w:tab w:val="left" w:pos="426"/>
        </w:tabs>
        <w:jc w:val="both"/>
        <w:rPr>
          <w:color w:val="000000"/>
          <w:lang w:val="en-GB"/>
        </w:rPr>
      </w:pPr>
    </w:p>
    <w:p w:rsidR="00BA2705" w:rsidRPr="00C86B07" w:rsidRDefault="00931873">
      <w:pPr>
        <w:numPr>
          <w:ilvl w:val="0"/>
          <w:numId w:val="5"/>
        </w:numPr>
        <w:ind w:left="0" w:firstLine="0"/>
        <w:jc w:val="both"/>
        <w:rPr>
          <w:color w:val="000000"/>
          <w:lang w:val="en-GB"/>
        </w:rPr>
      </w:pPr>
      <w:r w:rsidRPr="00C86B07">
        <w:rPr>
          <w:b/>
          <w:lang w:val="en-GB"/>
        </w:rPr>
        <w:lastRenderedPageBreak/>
        <w:t xml:space="preserve"> Qualification Requirements and Documents Certifying Qualification</w:t>
      </w:r>
    </w:p>
    <w:p w:rsidR="00BA2705" w:rsidRPr="00C86B07" w:rsidRDefault="00BA2705">
      <w:pPr>
        <w:tabs>
          <w:tab w:val="left" w:pos="426"/>
        </w:tabs>
        <w:ind w:left="540"/>
        <w:jc w:val="both"/>
        <w:rPr>
          <w:color w:val="000000"/>
          <w:lang w:val="en-GB"/>
        </w:rPr>
      </w:pPr>
    </w:p>
    <w:tbl>
      <w:tblPr>
        <w:tblW w:w="9351" w:type="dxa"/>
        <w:tblInd w:w="113" w:type="dxa"/>
        <w:tblLayout w:type="fixed"/>
        <w:tblLook w:val="04A0" w:firstRow="1" w:lastRow="0" w:firstColumn="1" w:lastColumn="0" w:noHBand="0" w:noVBand="1"/>
      </w:tblPr>
      <w:tblGrid>
        <w:gridCol w:w="4361"/>
        <w:gridCol w:w="4990"/>
      </w:tblGrid>
      <w:tr w:rsidR="00BA2705" w:rsidRPr="00C86B07">
        <w:tc>
          <w:tcPr>
            <w:tcW w:w="4361" w:type="dxa"/>
            <w:tcBorders>
              <w:top w:val="single" w:sz="4" w:space="0" w:color="000000"/>
              <w:left w:val="single" w:sz="4" w:space="0" w:color="000000"/>
              <w:bottom w:val="single" w:sz="4" w:space="0" w:color="000000"/>
              <w:right w:val="single" w:sz="4" w:space="0" w:color="000000"/>
            </w:tcBorders>
            <w:shd w:val="clear" w:color="auto" w:fill="D9D9D9"/>
          </w:tcPr>
          <w:p w:rsidR="00BA2705" w:rsidRPr="00C86B07" w:rsidRDefault="00931873">
            <w:pPr>
              <w:ind w:left="426" w:hanging="426"/>
              <w:jc w:val="center"/>
              <w:rPr>
                <w:lang w:val="en-GB"/>
              </w:rPr>
            </w:pPr>
            <w:r w:rsidRPr="00C86B07">
              <w:rPr>
                <w:b/>
                <w:lang w:val="en-GB"/>
              </w:rPr>
              <w:t>Requirements for the Candidate</w:t>
            </w:r>
          </w:p>
        </w:tc>
        <w:tc>
          <w:tcPr>
            <w:tcW w:w="4990" w:type="dxa"/>
            <w:tcBorders>
              <w:top w:val="single" w:sz="4" w:space="0" w:color="000000"/>
              <w:left w:val="single" w:sz="4" w:space="0" w:color="000000"/>
              <w:bottom w:val="single" w:sz="4" w:space="0" w:color="000000"/>
              <w:right w:val="single" w:sz="4" w:space="0" w:color="000000"/>
            </w:tcBorders>
            <w:shd w:val="clear" w:color="auto" w:fill="D9D9D9"/>
          </w:tcPr>
          <w:p w:rsidR="00BA2705" w:rsidRPr="00C86B07" w:rsidRDefault="00931873">
            <w:pPr>
              <w:ind w:left="720" w:hanging="720"/>
              <w:jc w:val="center"/>
              <w:rPr>
                <w:lang w:val="en-GB"/>
              </w:rPr>
            </w:pPr>
            <w:r w:rsidRPr="00C86B07">
              <w:rPr>
                <w:b/>
                <w:bCs/>
                <w:lang w:val="en-GB"/>
              </w:rPr>
              <w:t>Verification of Compliance and Documents to Be Submitted</w:t>
            </w:r>
          </w:p>
        </w:tc>
      </w:tr>
      <w:tr w:rsidR="00BA2705" w:rsidRPr="00C86B07">
        <w:tc>
          <w:tcPr>
            <w:tcW w:w="4361" w:type="dxa"/>
            <w:tcBorders>
              <w:top w:val="single" w:sz="4" w:space="0" w:color="000000"/>
              <w:left w:val="single" w:sz="4" w:space="0" w:color="000000"/>
              <w:bottom w:val="single" w:sz="4" w:space="0" w:color="000000"/>
              <w:right w:val="single" w:sz="4" w:space="0" w:color="000000"/>
            </w:tcBorders>
          </w:tcPr>
          <w:p w:rsidR="00BA2705" w:rsidRPr="00C86B07" w:rsidRDefault="00931873">
            <w:pPr>
              <w:jc w:val="both"/>
              <w:rPr>
                <w:lang w:val="en-GB"/>
              </w:rPr>
            </w:pPr>
            <w:r w:rsidRPr="00C86B07">
              <w:rPr>
                <w:lang w:val="en-GB"/>
              </w:rPr>
              <w:t>12.1. The Candidate is registered in accordance with the procedures laid down in laws and regulations (in the Enterprise Register of the Republic of Latvia, the system of the State Revenue Service or an equivalent register abroad).</w:t>
            </w:r>
          </w:p>
          <w:p w:rsidR="00BA2705" w:rsidRPr="00C86B07" w:rsidRDefault="00BA2705">
            <w:pPr>
              <w:jc w:val="both"/>
              <w:rPr>
                <w:lang w:val="en-GB"/>
              </w:rPr>
            </w:pPr>
          </w:p>
        </w:tc>
        <w:tc>
          <w:tcPr>
            <w:tcW w:w="4990" w:type="dxa"/>
            <w:tcBorders>
              <w:top w:val="single" w:sz="4" w:space="0" w:color="000000"/>
              <w:left w:val="single" w:sz="4" w:space="0" w:color="000000"/>
              <w:bottom w:val="single" w:sz="4" w:space="0" w:color="000000"/>
              <w:right w:val="single" w:sz="4" w:space="0" w:color="000000"/>
            </w:tcBorders>
          </w:tcPr>
          <w:p w:rsidR="00BA2705" w:rsidRPr="00C86B07" w:rsidRDefault="00931873">
            <w:pPr>
              <w:jc w:val="both"/>
              <w:rPr>
                <w:lang w:val="en-GB"/>
              </w:rPr>
            </w:pPr>
            <w:r w:rsidRPr="00C86B07">
              <w:rPr>
                <w:lang w:val="en-GB"/>
              </w:rPr>
              <w:t xml:space="preserve">12.1.1. the Contracting Authority shall verify the fact of registration in the Enterprise Register of the Republic of Latvia (hereinafter — LR) on the website of the Enterprise Register of LR, </w:t>
            </w:r>
            <w:hyperlink r:id="rId8">
              <w:r w:rsidRPr="00C86B07">
                <w:rPr>
                  <w:rStyle w:val="Hyperlink"/>
                  <w:lang w:val="en-GB"/>
                </w:rPr>
                <w:t>www.ur.gov.lv</w:t>
              </w:r>
            </w:hyperlink>
            <w:r w:rsidRPr="00C86B07">
              <w:rPr>
                <w:lang w:val="en-GB"/>
              </w:rPr>
              <w:t>. In respect of economic operators (Candidates) registered in Latvia, the Commission shall verify the fact of registration according to the data of the State Revenue Service available in the system of the State Revenue Service (https://www6.vid.gov.lv/SDV).</w:t>
            </w:r>
          </w:p>
          <w:p w:rsidR="00BA2705" w:rsidRPr="00C86B07" w:rsidRDefault="00931873">
            <w:pPr>
              <w:jc w:val="both"/>
              <w:rPr>
                <w:lang w:val="en-GB"/>
              </w:rPr>
            </w:pPr>
            <w:r w:rsidRPr="00C86B07">
              <w:rPr>
                <w:lang w:val="en-GB"/>
              </w:rPr>
              <w:t>12.1.2. if the Candidate is registered abroad, it shall submit a copy of a registration certificate</w:t>
            </w:r>
            <w:r w:rsidRPr="00C86B07">
              <w:rPr>
                <w:rStyle w:val="FootnoteReference"/>
                <w:lang w:val="en-GB"/>
              </w:rPr>
              <w:footnoteReference w:id="5"/>
            </w:r>
            <w:r w:rsidRPr="00C86B07">
              <w:rPr>
                <w:lang w:val="en-GB"/>
              </w:rPr>
              <w:t xml:space="preserve"> issued by the commercial register or an equivalent institution registering commercial activity abroad.</w:t>
            </w:r>
          </w:p>
        </w:tc>
      </w:tr>
      <w:tr w:rsidR="00BA2705" w:rsidRPr="00C86B07">
        <w:tc>
          <w:tcPr>
            <w:tcW w:w="4361" w:type="dxa"/>
            <w:tcBorders>
              <w:top w:val="single" w:sz="4" w:space="0" w:color="000000"/>
              <w:left w:val="single" w:sz="4" w:space="0" w:color="000000"/>
              <w:bottom w:val="single" w:sz="4" w:space="0" w:color="000000"/>
              <w:right w:val="single" w:sz="4" w:space="0" w:color="000000"/>
            </w:tcBorders>
          </w:tcPr>
          <w:p w:rsidR="00BA2705" w:rsidRPr="00C86B07" w:rsidRDefault="00931873">
            <w:pPr>
              <w:shd w:val="clear" w:color="auto" w:fill="FFFFFF"/>
              <w:tabs>
                <w:tab w:val="left" w:pos="0"/>
              </w:tabs>
              <w:autoSpaceDE w:val="0"/>
              <w:ind w:right="7"/>
              <w:jc w:val="both"/>
              <w:textAlignment w:val="baseline"/>
              <w:rPr>
                <w:lang w:val="en-GB"/>
              </w:rPr>
            </w:pPr>
            <w:r w:rsidRPr="00C86B07">
              <w:rPr>
                <w:rFonts w:eastAsia="Calibri"/>
                <w:lang w:val="en-GB" w:eastAsia="en-US"/>
              </w:rPr>
              <w:t xml:space="preserve">12.2. The arithmetic </w:t>
            </w:r>
            <w:r w:rsidR="00F77D54" w:rsidRPr="00C86B07">
              <w:rPr>
                <w:rFonts w:eastAsia="Calibri"/>
                <w:lang w:val="en-GB" w:eastAsia="en-US"/>
              </w:rPr>
              <w:t>means</w:t>
            </w:r>
            <w:r w:rsidRPr="00C86B07">
              <w:rPr>
                <w:rFonts w:eastAsia="Calibri"/>
                <w:lang w:val="en-GB" w:eastAsia="en-US"/>
              </w:rPr>
              <w:t xml:space="preserve"> of the Candidate’s net financial turnover during the previous three financial years up to the date of submission of the tender is at least EUR 250,000.</w:t>
            </w:r>
          </w:p>
        </w:tc>
        <w:tc>
          <w:tcPr>
            <w:tcW w:w="4990" w:type="dxa"/>
            <w:tcBorders>
              <w:top w:val="single" w:sz="4" w:space="0" w:color="000000"/>
              <w:left w:val="single" w:sz="4" w:space="0" w:color="000000"/>
              <w:bottom w:val="single" w:sz="4" w:space="0" w:color="000000"/>
              <w:right w:val="single" w:sz="4" w:space="0" w:color="000000"/>
            </w:tcBorders>
          </w:tcPr>
          <w:p w:rsidR="00BA2705" w:rsidRPr="00C86B07" w:rsidRDefault="00931873">
            <w:pPr>
              <w:tabs>
                <w:tab w:val="left" w:pos="0"/>
                <w:tab w:val="left" w:pos="142"/>
              </w:tabs>
              <w:jc w:val="both"/>
              <w:rPr>
                <w:lang w:val="en-GB"/>
              </w:rPr>
            </w:pPr>
            <w:r w:rsidRPr="00C86B07">
              <w:rPr>
                <w:lang w:val="en-GB"/>
              </w:rPr>
              <w:t>12.2.1. the Candidate shall submit to the Contracting Authority a statement regarding net financial turnover, prepared by the Candidate in accordance with the form set out in Annex 2 to the Regulations.</w:t>
            </w:r>
          </w:p>
          <w:p w:rsidR="00BA2705" w:rsidRPr="00C86B07" w:rsidRDefault="00931873">
            <w:pPr>
              <w:shd w:val="clear" w:color="auto" w:fill="FFFFFF"/>
              <w:autoSpaceDE w:val="0"/>
              <w:ind w:right="7"/>
              <w:jc w:val="both"/>
              <w:rPr>
                <w:lang w:val="en-GB"/>
              </w:rPr>
            </w:pPr>
            <w:r w:rsidRPr="00C86B07">
              <w:rPr>
                <w:lang w:val="en-GB"/>
              </w:rPr>
              <w:t>12.2.2. in respect of Candidates who commenced their activity on the market later, the Candidate shall submit a certification regarding net financial turnover for the year(s) corresponding to the duration of its activity.</w:t>
            </w:r>
          </w:p>
        </w:tc>
      </w:tr>
      <w:tr w:rsidR="00BA2705" w:rsidRPr="00C86B07">
        <w:tc>
          <w:tcPr>
            <w:tcW w:w="4361" w:type="dxa"/>
            <w:tcBorders>
              <w:top w:val="single" w:sz="4" w:space="0" w:color="000000"/>
              <w:left w:val="single" w:sz="4" w:space="0" w:color="000000"/>
              <w:bottom w:val="single" w:sz="4" w:space="0" w:color="000000"/>
              <w:right w:val="single" w:sz="4" w:space="0" w:color="000000"/>
            </w:tcBorders>
          </w:tcPr>
          <w:p w:rsidR="00BA2705" w:rsidRPr="00C86B07" w:rsidRDefault="00931873">
            <w:pPr>
              <w:tabs>
                <w:tab w:val="left" w:pos="426"/>
              </w:tabs>
              <w:jc w:val="both"/>
              <w:rPr>
                <w:lang w:val="en-GB"/>
              </w:rPr>
            </w:pPr>
            <w:r w:rsidRPr="00C86B07">
              <w:rPr>
                <w:rFonts w:eastAsia="Calibri"/>
                <w:lang w:val="en-GB" w:eastAsia="en-US"/>
              </w:rPr>
              <w:t>12.3. The Candidate is authorised to perform the design works necessary for performance of the contract in accordance with the requirements of the European Union Aviation Safety Agency (EASA).</w:t>
            </w:r>
          </w:p>
          <w:p w:rsidR="00BA2705" w:rsidRPr="00C86B07" w:rsidRDefault="00BA2705">
            <w:pPr>
              <w:tabs>
                <w:tab w:val="left" w:pos="426"/>
              </w:tabs>
              <w:jc w:val="both"/>
              <w:rPr>
                <w:rFonts w:eastAsia="Calibri"/>
                <w:lang w:val="en-GB" w:eastAsia="en-US"/>
              </w:rPr>
            </w:pPr>
          </w:p>
        </w:tc>
        <w:tc>
          <w:tcPr>
            <w:tcW w:w="4990" w:type="dxa"/>
            <w:tcBorders>
              <w:top w:val="single" w:sz="4" w:space="0" w:color="000000"/>
              <w:left w:val="single" w:sz="4" w:space="0" w:color="000000"/>
              <w:bottom w:val="single" w:sz="4" w:space="0" w:color="000000"/>
              <w:right w:val="single" w:sz="4" w:space="0" w:color="000000"/>
            </w:tcBorders>
          </w:tcPr>
          <w:p w:rsidR="00BA2705" w:rsidRPr="00C86B07" w:rsidRDefault="00931873">
            <w:pPr>
              <w:tabs>
                <w:tab w:val="left" w:pos="426"/>
              </w:tabs>
              <w:jc w:val="both"/>
              <w:rPr>
                <w:bCs/>
                <w:lang w:val="en-GB"/>
              </w:rPr>
            </w:pPr>
            <w:r w:rsidRPr="00C86B07">
              <w:rPr>
                <w:lang w:val="en-GB"/>
              </w:rPr>
              <w:t>12.3.1. the Candidate shall submit a copy of a design organisation approval certificate in accordance with the requirements of Annex I (Part 21) to Commission Regulation (EU) No 748/2012 of 3 August 2012 laying down implementing rules for the airworthiness and environmental certification of aircraft and related products, parts and appliances, as well as for the certification of design and production organisations.</w:t>
            </w:r>
          </w:p>
        </w:tc>
      </w:tr>
      <w:tr w:rsidR="00BA2705" w:rsidRPr="00C86B07">
        <w:tc>
          <w:tcPr>
            <w:tcW w:w="4361" w:type="dxa"/>
            <w:tcBorders>
              <w:top w:val="single" w:sz="4" w:space="0" w:color="000000"/>
              <w:left w:val="single" w:sz="4" w:space="0" w:color="000000"/>
              <w:bottom w:val="single" w:sz="4" w:space="0" w:color="000000"/>
              <w:right w:val="single" w:sz="4" w:space="0" w:color="000000"/>
            </w:tcBorders>
          </w:tcPr>
          <w:p w:rsidR="00BA2705" w:rsidRPr="00C86B07" w:rsidRDefault="00931873">
            <w:pPr>
              <w:shd w:val="clear" w:color="auto" w:fill="FFFFFF"/>
              <w:tabs>
                <w:tab w:val="left" w:pos="0"/>
                <w:tab w:val="left" w:pos="426"/>
              </w:tabs>
              <w:autoSpaceDE w:val="0"/>
              <w:ind w:right="7"/>
              <w:jc w:val="both"/>
              <w:rPr>
                <w:lang w:val="en-GB"/>
              </w:rPr>
            </w:pPr>
            <w:r w:rsidRPr="00C86B07">
              <w:rPr>
                <w:lang w:val="en-GB"/>
              </w:rPr>
              <w:t>12.6. If the Candidate is an association of Suppliers, the Contracting Authority shall award the right to conclude the contract only to such Candidate (association of Suppliers) in which:</w:t>
            </w:r>
          </w:p>
          <w:p w:rsidR="00BA2705" w:rsidRPr="00C86B07" w:rsidRDefault="00931873">
            <w:pPr>
              <w:tabs>
                <w:tab w:val="left" w:pos="426"/>
              </w:tabs>
              <w:jc w:val="both"/>
              <w:rPr>
                <w:lang w:val="en-GB"/>
              </w:rPr>
            </w:pPr>
            <w:r w:rsidRPr="00C86B07">
              <w:rPr>
                <w:lang w:val="en-GB"/>
              </w:rPr>
              <w:t xml:space="preserve">1) each Supplier complies with Sub-clause </w:t>
            </w:r>
            <w:r w:rsidRPr="00C86B07">
              <w:rPr>
                <w:lang w:val="en-GB"/>
              </w:rPr>
              <w:lastRenderedPageBreak/>
              <w:t>12.1 of the Regulations;</w:t>
            </w:r>
          </w:p>
          <w:p w:rsidR="00BA2705" w:rsidRPr="00C86B07" w:rsidRDefault="00931873">
            <w:pPr>
              <w:tabs>
                <w:tab w:val="left" w:pos="426"/>
              </w:tabs>
              <w:jc w:val="both"/>
              <w:rPr>
                <w:lang w:val="en-GB"/>
              </w:rPr>
            </w:pPr>
            <w:r w:rsidRPr="00C86B07">
              <w:rPr>
                <w:lang w:val="en-GB"/>
              </w:rPr>
              <w:t xml:space="preserve">2) the Suppliers on whose financial capacities the Candidate relies jointly comply with Sub-clause 12.2 of the Regulations (i.e. </w:t>
            </w:r>
            <w:proofErr w:type="gramStart"/>
            <w:r w:rsidRPr="00C86B07">
              <w:rPr>
                <w:lang w:val="en-GB"/>
              </w:rPr>
              <w:t>taking into account</w:t>
            </w:r>
            <w:proofErr w:type="gramEnd"/>
            <w:r w:rsidRPr="00C86B07">
              <w:rPr>
                <w:lang w:val="en-GB"/>
              </w:rPr>
              <w:t xml:space="preserve"> (summing) the relevant arithmetic mean of the net financial turnover of all Suppliers, it is at least EUR 250,000);</w:t>
            </w:r>
          </w:p>
          <w:p w:rsidR="00BA2705" w:rsidRPr="00C86B07" w:rsidRDefault="00931873">
            <w:pPr>
              <w:tabs>
                <w:tab w:val="left" w:pos="426"/>
              </w:tabs>
              <w:jc w:val="both"/>
              <w:rPr>
                <w:strike/>
                <w:lang w:val="en-GB"/>
              </w:rPr>
            </w:pPr>
            <w:r w:rsidRPr="00C86B07">
              <w:rPr>
                <w:lang w:val="en-GB"/>
              </w:rPr>
              <w:t>3) at least one Supplier (which will accordingly perform the design works) complies with Sub-clause 12.4 of the Regulations.</w:t>
            </w:r>
          </w:p>
        </w:tc>
        <w:tc>
          <w:tcPr>
            <w:tcW w:w="4990" w:type="dxa"/>
            <w:tcBorders>
              <w:top w:val="single" w:sz="4" w:space="0" w:color="000000"/>
              <w:left w:val="single" w:sz="4" w:space="0" w:color="000000"/>
              <w:bottom w:val="single" w:sz="4" w:space="0" w:color="000000"/>
              <w:right w:val="single" w:sz="4" w:space="0" w:color="000000"/>
            </w:tcBorders>
          </w:tcPr>
          <w:p w:rsidR="00BA2705" w:rsidRPr="00C86B07" w:rsidRDefault="00931873">
            <w:pPr>
              <w:shd w:val="clear" w:color="auto" w:fill="FFFFFF"/>
              <w:tabs>
                <w:tab w:val="left" w:pos="0"/>
                <w:tab w:val="left" w:pos="1276"/>
              </w:tabs>
              <w:autoSpaceDE w:val="0"/>
              <w:ind w:right="7"/>
              <w:jc w:val="both"/>
              <w:rPr>
                <w:lang w:val="en-GB"/>
              </w:rPr>
            </w:pPr>
            <w:r w:rsidRPr="00C86B07">
              <w:rPr>
                <w:lang w:val="en-GB"/>
              </w:rPr>
              <w:lastRenderedPageBreak/>
              <w:t>12.6.1. the association of Suppliers shall include in the tender a certification or agreement prepared in free form proving the obligations undertaken by the members of the association of Suppliers in relation to implementation of the Procurement.</w:t>
            </w:r>
          </w:p>
          <w:p w:rsidR="00BA2705" w:rsidRPr="00C86B07" w:rsidRDefault="00931873">
            <w:pPr>
              <w:shd w:val="clear" w:color="auto" w:fill="FFFFFF"/>
              <w:tabs>
                <w:tab w:val="left" w:pos="0"/>
                <w:tab w:val="left" w:pos="1276"/>
              </w:tabs>
              <w:autoSpaceDE w:val="0"/>
              <w:ind w:right="7"/>
              <w:jc w:val="both"/>
              <w:rPr>
                <w:lang w:val="en-GB"/>
              </w:rPr>
            </w:pPr>
            <w:r w:rsidRPr="00C86B07">
              <w:rPr>
                <w:lang w:val="en-GB"/>
              </w:rPr>
              <w:lastRenderedPageBreak/>
              <w:t>12.6.2. when drawing up the certification or agreement referred to in Sub-clause 12.6.1 of the Regulations, the association of Suppliers shall:</w:t>
            </w:r>
          </w:p>
          <w:p w:rsidR="00BA2705" w:rsidRPr="00C86B07" w:rsidRDefault="00931873">
            <w:pPr>
              <w:shd w:val="clear" w:color="auto" w:fill="FFFFFF"/>
              <w:tabs>
                <w:tab w:val="left" w:pos="0"/>
                <w:tab w:val="left" w:pos="1276"/>
              </w:tabs>
              <w:autoSpaceDE w:val="0"/>
              <w:ind w:right="7"/>
              <w:jc w:val="both"/>
              <w:rPr>
                <w:lang w:val="en-GB"/>
              </w:rPr>
            </w:pPr>
            <w:r w:rsidRPr="00C86B07">
              <w:rPr>
                <w:lang w:val="en-GB"/>
              </w:rPr>
              <w:t>12.6.2.1. indicate the scope of competence of each Supplier and a list of the works to be performed (duties to be fulfilled) during performance of the contract;</w:t>
            </w:r>
          </w:p>
          <w:p w:rsidR="00BA2705" w:rsidRPr="00C86B07" w:rsidRDefault="00931873">
            <w:pPr>
              <w:shd w:val="clear" w:color="auto" w:fill="FFFFFF"/>
              <w:tabs>
                <w:tab w:val="left" w:pos="0"/>
                <w:tab w:val="left" w:pos="1276"/>
              </w:tabs>
              <w:autoSpaceDE w:val="0"/>
              <w:ind w:right="7"/>
              <w:jc w:val="both"/>
              <w:rPr>
                <w:lang w:val="en-GB"/>
              </w:rPr>
            </w:pPr>
            <w:r w:rsidRPr="00C86B07">
              <w:rPr>
                <w:lang w:val="en-GB"/>
              </w:rPr>
              <w:t>12.6.2.2. indicate that, if the right to conclude the procurement contract is awarded, the association of Suppliers shall, at its choice, not later than within 30 (thirty) calendar days from dispatch of the decision awarding the right to conclude the contract, establish a partnership or enter into a partnership agreement, agreeing on the allocation of liability among the members of the association of Suppliers.</w:t>
            </w:r>
          </w:p>
          <w:p w:rsidR="00BA2705" w:rsidRPr="00C86B07" w:rsidRDefault="00931873">
            <w:pPr>
              <w:shd w:val="clear" w:color="auto" w:fill="FFFFFF"/>
              <w:tabs>
                <w:tab w:val="left" w:pos="0"/>
                <w:tab w:val="left" w:pos="1276"/>
              </w:tabs>
              <w:autoSpaceDE w:val="0"/>
              <w:ind w:right="7"/>
              <w:jc w:val="both"/>
              <w:rPr>
                <w:lang w:val="en-GB"/>
              </w:rPr>
            </w:pPr>
            <w:r w:rsidRPr="00C86B07">
              <w:rPr>
                <w:lang w:val="en-GB"/>
              </w:rPr>
              <w:t>12.6.3. qualification documents for each member of the association of Suppliers shall be submitted to the extent to which they participate in the Application and performance of the contract.</w:t>
            </w:r>
          </w:p>
          <w:p w:rsidR="00BA2705" w:rsidRPr="006F524C" w:rsidRDefault="00931873">
            <w:pPr>
              <w:pStyle w:val="Default"/>
              <w:jc w:val="both"/>
              <w:rPr>
                <w:lang w:val="en-GB"/>
              </w:rPr>
            </w:pPr>
            <w:r w:rsidRPr="006F524C">
              <w:rPr>
                <w:iCs/>
                <w:lang w:val="en-GB"/>
              </w:rPr>
              <w:t>Note: the association of Suppliers is entitled to submit a partnership agreement in the Application without submitting the agreement or certification referred to in Sub-clause 12.6.1.</w:t>
            </w:r>
          </w:p>
        </w:tc>
      </w:tr>
      <w:tr w:rsidR="00BA2705" w:rsidRPr="00C86B07">
        <w:tc>
          <w:tcPr>
            <w:tcW w:w="4361" w:type="dxa"/>
            <w:tcBorders>
              <w:top w:val="single" w:sz="4" w:space="0" w:color="000000"/>
              <w:left w:val="single" w:sz="4" w:space="0" w:color="000000"/>
              <w:bottom w:val="single" w:sz="4" w:space="0" w:color="000000"/>
              <w:right w:val="single" w:sz="4" w:space="0" w:color="000000"/>
            </w:tcBorders>
          </w:tcPr>
          <w:p w:rsidR="00BA2705" w:rsidRPr="00C86B07" w:rsidRDefault="00931873">
            <w:pPr>
              <w:shd w:val="clear" w:color="auto" w:fill="FFFFFF"/>
              <w:tabs>
                <w:tab w:val="left" w:pos="0"/>
                <w:tab w:val="left" w:pos="426"/>
              </w:tabs>
              <w:autoSpaceDE w:val="0"/>
              <w:ind w:right="7"/>
              <w:jc w:val="both"/>
              <w:rPr>
                <w:color w:val="000000"/>
                <w:lang w:val="en-GB"/>
              </w:rPr>
            </w:pPr>
            <w:r w:rsidRPr="00C86B07">
              <w:rPr>
                <w:lang w:val="en-GB"/>
              </w:rPr>
              <w:lastRenderedPageBreak/>
              <w:t>12.7. If the Candidate plans to engage a subcontractor in order to ensure performance of the contract, the Contracting Authority shall award the right to conclude the contract only to such Candidate for which:</w:t>
            </w:r>
          </w:p>
          <w:p w:rsidR="00BA2705" w:rsidRPr="00C86B07" w:rsidRDefault="00931873">
            <w:pPr>
              <w:tabs>
                <w:tab w:val="left" w:pos="426"/>
              </w:tabs>
              <w:jc w:val="both"/>
              <w:rPr>
                <w:lang w:val="en-GB"/>
              </w:rPr>
            </w:pPr>
            <w:r w:rsidRPr="00C86B07">
              <w:rPr>
                <w:lang w:val="en-GB"/>
              </w:rPr>
              <w:t>1) the subcontractor complies with Sub-clause 12.1 of the Regulations;</w:t>
            </w:r>
          </w:p>
          <w:p w:rsidR="00BA2705" w:rsidRPr="00C86B07" w:rsidRDefault="00931873">
            <w:pPr>
              <w:ind w:right="43"/>
              <w:jc w:val="both"/>
              <w:rPr>
                <w:lang w:val="en-GB"/>
              </w:rPr>
            </w:pPr>
            <w:r w:rsidRPr="00C86B07">
              <w:rPr>
                <w:lang w:val="en-GB"/>
              </w:rPr>
              <w:t>2) the subcontractor is able to prove the transfer of resources to the Candidate for performance of the contract;</w:t>
            </w:r>
          </w:p>
          <w:p w:rsidR="00BA2705" w:rsidRPr="00C86B07" w:rsidRDefault="00931873">
            <w:pPr>
              <w:ind w:right="43"/>
              <w:jc w:val="both"/>
              <w:rPr>
                <w:lang w:val="en-GB"/>
              </w:rPr>
            </w:pPr>
            <w:r w:rsidRPr="00C86B07">
              <w:rPr>
                <w:lang w:val="en-GB"/>
              </w:rPr>
              <w:t>3) the subcontractor complies with the requirements set out in the Regulations according to its participation in performance of the contract.</w:t>
            </w:r>
          </w:p>
          <w:p w:rsidR="00BA2705" w:rsidRPr="00C86B07" w:rsidRDefault="00931873">
            <w:pPr>
              <w:ind w:right="43"/>
              <w:jc w:val="both"/>
              <w:rPr>
                <w:lang w:val="en-GB"/>
              </w:rPr>
            </w:pPr>
            <w:r w:rsidRPr="00C86B07">
              <w:rPr>
                <w:i/>
                <w:lang w:val="en-GB"/>
              </w:rPr>
              <w:t xml:space="preserve">Note: </w:t>
            </w:r>
            <w:r w:rsidR="006F524C" w:rsidRPr="00C86B07">
              <w:rPr>
                <w:i/>
                <w:lang w:val="en-GB"/>
              </w:rPr>
              <w:t>The</w:t>
            </w:r>
            <w:r w:rsidRPr="00C86B07">
              <w:rPr>
                <w:i/>
                <w:lang w:val="en-GB"/>
              </w:rPr>
              <w:t xml:space="preserve"> Contracting Authority may engage a subcontractor only if the subcontractor will provide services necessary for performance of the contract.</w:t>
            </w:r>
          </w:p>
          <w:p w:rsidR="00BA2705" w:rsidRPr="00C86B07" w:rsidRDefault="00BA2705">
            <w:pPr>
              <w:ind w:right="43"/>
              <w:jc w:val="both"/>
              <w:rPr>
                <w:shd w:val="clear" w:color="auto" w:fill="FFFFFF"/>
                <w:lang w:val="en-GB"/>
              </w:rPr>
            </w:pPr>
          </w:p>
        </w:tc>
        <w:tc>
          <w:tcPr>
            <w:tcW w:w="4990" w:type="dxa"/>
            <w:tcBorders>
              <w:top w:val="single" w:sz="4" w:space="0" w:color="000000"/>
              <w:left w:val="single" w:sz="4" w:space="0" w:color="000000"/>
              <w:bottom w:val="single" w:sz="4" w:space="0" w:color="000000"/>
              <w:right w:val="single" w:sz="4" w:space="0" w:color="000000"/>
            </w:tcBorders>
          </w:tcPr>
          <w:p w:rsidR="00BA2705" w:rsidRPr="00C86B07" w:rsidRDefault="00931873">
            <w:pPr>
              <w:shd w:val="clear" w:color="auto" w:fill="FFFFFF"/>
              <w:tabs>
                <w:tab w:val="left" w:pos="350"/>
              </w:tabs>
              <w:autoSpaceDE w:val="0"/>
              <w:ind w:right="7"/>
              <w:jc w:val="both"/>
              <w:rPr>
                <w:lang w:val="en-GB"/>
              </w:rPr>
            </w:pPr>
            <w:r w:rsidRPr="00C86B07">
              <w:rPr>
                <w:lang w:val="en-GB"/>
              </w:rPr>
              <w:t>12.7.1. the Candidate shall include in the Application a certification by the subcontractor in accordance with the form set out in Annex 3 to the Regulations, confirming that it agrees to participate in the Procurement and indicating:</w:t>
            </w:r>
          </w:p>
          <w:p w:rsidR="00BA2705" w:rsidRPr="00C86B07" w:rsidRDefault="00931873">
            <w:pPr>
              <w:shd w:val="clear" w:color="auto" w:fill="FFFFFF"/>
              <w:tabs>
                <w:tab w:val="left" w:pos="0"/>
                <w:tab w:val="left" w:pos="1276"/>
              </w:tabs>
              <w:autoSpaceDE w:val="0"/>
              <w:ind w:right="7"/>
              <w:jc w:val="both"/>
              <w:rPr>
                <w:lang w:val="en-GB"/>
              </w:rPr>
            </w:pPr>
            <w:r w:rsidRPr="00C86B07">
              <w:rPr>
                <w:bCs/>
                <w:lang w:val="en-GB"/>
              </w:rPr>
              <w:t>12.7.1.1. the services which it undertakes to perform within the contract if a contract is subsequently concluded with the Candidate;</w:t>
            </w:r>
          </w:p>
          <w:p w:rsidR="00BA2705" w:rsidRPr="00C86B07" w:rsidRDefault="00931873">
            <w:pPr>
              <w:shd w:val="clear" w:color="auto" w:fill="FFFFFF"/>
              <w:tabs>
                <w:tab w:val="left" w:pos="0"/>
                <w:tab w:val="left" w:pos="1276"/>
              </w:tabs>
              <w:autoSpaceDE w:val="0"/>
              <w:ind w:right="7"/>
              <w:jc w:val="both"/>
              <w:rPr>
                <w:lang w:val="en-GB"/>
              </w:rPr>
            </w:pPr>
            <w:r w:rsidRPr="00C86B07">
              <w:rPr>
                <w:bCs/>
                <w:lang w:val="en-GB"/>
              </w:rPr>
              <w:t>12.7.1.2. the cost of the services to be performed in euro;</w:t>
            </w:r>
          </w:p>
          <w:p w:rsidR="00BA2705" w:rsidRPr="00C86B07" w:rsidRDefault="00931873">
            <w:pPr>
              <w:shd w:val="clear" w:color="auto" w:fill="FFFFFF"/>
              <w:tabs>
                <w:tab w:val="left" w:pos="0"/>
                <w:tab w:val="left" w:pos="1276"/>
              </w:tabs>
              <w:autoSpaceDE w:val="0"/>
              <w:ind w:right="7"/>
              <w:jc w:val="both"/>
              <w:rPr>
                <w:lang w:val="en-GB"/>
              </w:rPr>
            </w:pPr>
            <w:r w:rsidRPr="00C86B07">
              <w:rPr>
                <w:bCs/>
                <w:lang w:val="en-GB"/>
              </w:rPr>
              <w:t>12.7.1.3. information on the resources to be placed at the disposal of the Candidate and the manner of transfer of the resources;</w:t>
            </w:r>
          </w:p>
          <w:p w:rsidR="00BA2705" w:rsidRPr="00C86B07" w:rsidRDefault="00931873">
            <w:pPr>
              <w:shd w:val="clear" w:color="auto" w:fill="FFFFFF"/>
              <w:tabs>
                <w:tab w:val="left" w:pos="0"/>
                <w:tab w:val="left" w:pos="1276"/>
              </w:tabs>
              <w:autoSpaceDE w:val="0"/>
              <w:ind w:right="7"/>
              <w:jc w:val="both"/>
              <w:rPr>
                <w:bCs/>
                <w:lang w:val="en-GB"/>
              </w:rPr>
            </w:pPr>
            <w:r w:rsidRPr="00C86B07">
              <w:rPr>
                <w:rFonts w:eastAsia="Calibri"/>
                <w:bCs/>
                <w:lang w:val="en-GB" w:eastAsia="en-US"/>
              </w:rPr>
              <w:t>12.7.1.4. information on compliance or non-compliance with the status of a small or medium-sized enterprise</w:t>
            </w:r>
            <w:r w:rsidRPr="00C86B07">
              <w:rPr>
                <w:rStyle w:val="FootnoteReference"/>
                <w:lang w:val="en-GB"/>
              </w:rPr>
              <w:footnoteReference w:id="6"/>
            </w:r>
            <w:r w:rsidRPr="00C86B07">
              <w:rPr>
                <w:bCs/>
                <w:lang w:val="en-GB"/>
              </w:rPr>
              <w:t>.</w:t>
            </w:r>
          </w:p>
          <w:p w:rsidR="00BA2705" w:rsidRPr="00C86B07" w:rsidRDefault="00931873">
            <w:pPr>
              <w:shd w:val="clear" w:color="auto" w:fill="FFFFFF"/>
              <w:tabs>
                <w:tab w:val="left" w:pos="0"/>
                <w:tab w:val="left" w:pos="1276"/>
              </w:tabs>
              <w:autoSpaceDE w:val="0"/>
              <w:ind w:right="7"/>
              <w:jc w:val="both"/>
              <w:rPr>
                <w:lang w:val="en-GB"/>
              </w:rPr>
            </w:pPr>
            <w:r w:rsidRPr="00C86B07">
              <w:rPr>
                <w:lang w:val="en-GB"/>
              </w:rPr>
              <w:t>12.7.2. qualification documents for each subcontractor shall be submitted to the extent to which they participate in the Application and performance of the contract.</w:t>
            </w:r>
          </w:p>
        </w:tc>
      </w:tr>
    </w:tbl>
    <w:p w:rsidR="00BA2705" w:rsidRPr="00C86B07" w:rsidRDefault="00BA2705">
      <w:pPr>
        <w:jc w:val="both"/>
        <w:rPr>
          <w:lang w:val="en-GB"/>
        </w:rPr>
      </w:pPr>
    </w:p>
    <w:p w:rsidR="00BA2705" w:rsidRPr="00C86B07" w:rsidRDefault="00931873">
      <w:pPr>
        <w:pStyle w:val="Header"/>
        <w:tabs>
          <w:tab w:val="clear" w:pos="4153"/>
          <w:tab w:val="clear" w:pos="8306"/>
        </w:tabs>
        <w:jc w:val="both"/>
        <w:rPr>
          <w:lang w:val="en-GB"/>
        </w:rPr>
      </w:pPr>
      <w:r w:rsidRPr="00C86B07">
        <w:rPr>
          <w:lang w:val="en-GB"/>
        </w:rPr>
        <w:t>12.8. As preliminary evidence of compliance with the qualification requirements, the Candidate may submit the European Single Procurement Document (hereinafter — ESPD)</w:t>
      </w:r>
      <w:r w:rsidRPr="00C86B07">
        <w:rPr>
          <w:rStyle w:val="FootnoteReference"/>
          <w:lang w:val="en-GB"/>
        </w:rPr>
        <w:footnoteReference w:id="7"/>
      </w:r>
      <w:r w:rsidRPr="00C86B07">
        <w:rPr>
          <w:lang w:val="en-GB"/>
        </w:rPr>
        <w:t xml:space="preserve">. If the </w:t>
      </w:r>
      <w:r w:rsidRPr="00C86B07">
        <w:rPr>
          <w:lang w:val="en-GB"/>
        </w:rPr>
        <w:lastRenderedPageBreak/>
        <w:t>Candidate chooses to submit the ESPD, the Candidate is not required to submit the documents specified in Sub-clauses 12.2–12.5 of the Regulations. When preparing the ESPD:</w:t>
      </w:r>
    </w:p>
    <w:p w:rsidR="00BA2705" w:rsidRPr="00C86B07" w:rsidRDefault="00931873">
      <w:pPr>
        <w:tabs>
          <w:tab w:val="left" w:pos="0"/>
          <w:tab w:val="left" w:pos="142"/>
        </w:tabs>
        <w:jc w:val="both"/>
        <w:rPr>
          <w:lang w:val="en-GB"/>
        </w:rPr>
      </w:pPr>
      <w:r w:rsidRPr="00C86B07">
        <w:rPr>
          <w:lang w:val="en-GB"/>
        </w:rPr>
        <w:t>12.8.1. the Candidate is not required to provide the information requested in Parts II and III of the ESPD form in respect of subcontractors on whose capacities it does not rely;</w:t>
      </w:r>
    </w:p>
    <w:p w:rsidR="00BA2705" w:rsidRPr="00C86B07" w:rsidRDefault="00931873">
      <w:pPr>
        <w:tabs>
          <w:tab w:val="left" w:pos="0"/>
          <w:tab w:val="left" w:pos="142"/>
        </w:tabs>
        <w:jc w:val="both"/>
        <w:rPr>
          <w:lang w:val="en-GB"/>
        </w:rPr>
      </w:pPr>
      <w:r w:rsidRPr="00C86B07">
        <w:rPr>
          <w:lang w:val="en-GB"/>
        </w:rPr>
        <w:t xml:space="preserve">12.8.2. In Part IV of the ESPD form, the Candidate shall complete only Section </w:t>
      </w:r>
      <w:r w:rsidRPr="00C86B07">
        <w:rPr>
          <w:rFonts w:ascii="Symbol" w:eastAsia="Symbol" w:hAnsi="Symbol" w:cs="Symbol"/>
          <w:lang w:val="en-GB"/>
        </w:rPr>
        <w:sym w:font="Symbol" w:char="F061"/>
      </w:r>
      <w:r w:rsidRPr="00C86B07">
        <w:rPr>
          <w:lang w:val="en-GB"/>
        </w:rPr>
        <w:t>, without completing the other sections of Part IV.</w:t>
      </w:r>
    </w:p>
    <w:p w:rsidR="00BA2705" w:rsidRPr="00C86B07" w:rsidRDefault="00BA2705">
      <w:pPr>
        <w:widowControl w:val="0"/>
        <w:tabs>
          <w:tab w:val="left" w:pos="684"/>
        </w:tabs>
        <w:jc w:val="both"/>
        <w:rPr>
          <w:lang w:val="en-GB"/>
        </w:rPr>
      </w:pPr>
    </w:p>
    <w:p w:rsidR="00BA2705" w:rsidRPr="00C86B07" w:rsidRDefault="00931873">
      <w:pPr>
        <w:tabs>
          <w:tab w:val="left" w:pos="540"/>
        </w:tabs>
        <w:jc w:val="both"/>
        <w:rPr>
          <w:i/>
          <w:lang w:val="en-GB"/>
        </w:rPr>
      </w:pPr>
      <w:r w:rsidRPr="00C86B07">
        <w:rPr>
          <w:i/>
          <w:lang w:val="en-GB"/>
        </w:rPr>
        <w:t>Note. If the Candidate chooses to submit the ESPD, the Candidate shall also submit the ESPD for each person on whose capacities it relies in order to prove its compliance with the qualification requirements laid down in the Regulations. This means that, if the Tenderer is an association of Suppliers and chooses to submit the ESPD, each member of the association of Suppliers shall prepare a separate ESPD in respect of itself. If the Tenderer intends to transfer the performance of a certain part of the contractual obligations to a subcontractor who meets the criteria laid down in Section 63, Paragraph two of the Public Procurement Law (the value of services to be provided by the subcontractor is at least EUR 10,000, also taking into account the provisions of Section 63, Paragraph three of the Public Procurement Law), the Candidate shall submit an ESPD for each subcontractor indicated by the Candidate, prepared by each subcontractor in respect of itself.</w:t>
      </w:r>
    </w:p>
    <w:p w:rsidR="00BA2705" w:rsidRPr="00C86B07" w:rsidRDefault="00BA2705">
      <w:pPr>
        <w:tabs>
          <w:tab w:val="left" w:pos="540"/>
        </w:tabs>
        <w:jc w:val="center"/>
        <w:rPr>
          <w:b/>
          <w:i/>
          <w:lang w:val="en-GB"/>
        </w:rPr>
      </w:pPr>
    </w:p>
    <w:p w:rsidR="00BA2705" w:rsidRPr="00C86B07" w:rsidRDefault="00931873">
      <w:pPr>
        <w:tabs>
          <w:tab w:val="left" w:pos="540"/>
        </w:tabs>
        <w:jc w:val="center"/>
        <w:rPr>
          <w:b/>
          <w:lang w:val="en-GB"/>
        </w:rPr>
      </w:pPr>
      <w:r w:rsidRPr="00C86B07">
        <w:rPr>
          <w:b/>
          <w:lang w:val="en-GB"/>
        </w:rPr>
        <w:t>Chapter III.</w:t>
      </w:r>
    </w:p>
    <w:p w:rsidR="00BA2705" w:rsidRPr="00C86B07" w:rsidRDefault="00931873">
      <w:pPr>
        <w:tabs>
          <w:tab w:val="left" w:pos="540"/>
        </w:tabs>
        <w:jc w:val="center"/>
        <w:rPr>
          <w:lang w:val="en-GB"/>
        </w:rPr>
      </w:pPr>
      <w:r w:rsidRPr="00C86B07">
        <w:rPr>
          <w:b/>
          <w:lang w:val="en-GB"/>
        </w:rPr>
        <w:t>Preparation, Submission and Opening of the Application</w:t>
      </w:r>
    </w:p>
    <w:p w:rsidR="00BA2705" w:rsidRPr="00C86B07" w:rsidRDefault="00BA2705">
      <w:pPr>
        <w:tabs>
          <w:tab w:val="left" w:pos="540"/>
        </w:tabs>
        <w:rPr>
          <w:b/>
          <w:lang w:val="en-GB"/>
        </w:rPr>
      </w:pPr>
    </w:p>
    <w:p w:rsidR="00BA2705" w:rsidRPr="00C86B07" w:rsidRDefault="00931873">
      <w:pPr>
        <w:tabs>
          <w:tab w:val="left" w:pos="540"/>
        </w:tabs>
        <w:rPr>
          <w:lang w:val="en-GB"/>
        </w:rPr>
      </w:pPr>
      <w:r w:rsidRPr="00C86B07">
        <w:rPr>
          <w:b/>
          <w:bCs/>
          <w:lang w:val="en-GB"/>
        </w:rPr>
        <w:t>13. General Requirements for Submission of the Application</w:t>
      </w:r>
    </w:p>
    <w:p w:rsidR="00BA2705" w:rsidRPr="00C86B07" w:rsidRDefault="00BA2705">
      <w:pPr>
        <w:tabs>
          <w:tab w:val="left" w:pos="540"/>
        </w:tabs>
        <w:rPr>
          <w:b/>
          <w:bCs/>
          <w:lang w:val="en-GB"/>
        </w:rPr>
      </w:pPr>
    </w:p>
    <w:p w:rsidR="00BA2705" w:rsidRPr="00C86B07" w:rsidRDefault="00931873">
      <w:pPr>
        <w:jc w:val="both"/>
        <w:rPr>
          <w:lang w:val="en-GB"/>
        </w:rPr>
      </w:pPr>
      <w:r w:rsidRPr="00C86B07">
        <w:rPr>
          <w:lang w:val="en-GB"/>
        </w:rPr>
        <w:t xml:space="preserve">13.1. Before </w:t>
      </w:r>
      <w:proofErr w:type="gramStart"/>
      <w:r w:rsidRPr="00C86B07">
        <w:rPr>
          <w:lang w:val="en-GB"/>
        </w:rPr>
        <w:t>submitting an Application</w:t>
      </w:r>
      <w:proofErr w:type="gramEnd"/>
      <w:r w:rsidRPr="00C86B07">
        <w:rPr>
          <w:lang w:val="en-GB"/>
        </w:rPr>
        <w:t xml:space="preserve"> to the Contracting Authority, the Candidate shall register in the E-Tenders System (if the Candidate has not previously registered)</w:t>
      </w:r>
      <w:r w:rsidRPr="00C86B07">
        <w:rPr>
          <w:rStyle w:val="FootnoteReference"/>
          <w:lang w:val="en-GB" w:eastAsia="en-US"/>
        </w:rPr>
        <w:footnoteReference w:id="8"/>
      </w:r>
      <w:r w:rsidRPr="00C86B07">
        <w:rPr>
          <w:lang w:val="en-GB"/>
        </w:rPr>
        <w:t>.</w:t>
      </w:r>
    </w:p>
    <w:p w:rsidR="00BA2705" w:rsidRPr="00C86B07" w:rsidRDefault="00BA2705">
      <w:pPr>
        <w:jc w:val="both"/>
        <w:rPr>
          <w:lang w:val="en-GB"/>
        </w:rPr>
      </w:pPr>
    </w:p>
    <w:p w:rsidR="00BA2705" w:rsidRPr="00C86B07" w:rsidRDefault="00931873">
      <w:pPr>
        <w:jc w:val="both"/>
        <w:rPr>
          <w:lang w:val="en-GB" w:eastAsia="en-US"/>
        </w:rPr>
      </w:pPr>
      <w:r w:rsidRPr="00C86B07">
        <w:rPr>
          <w:lang w:val="en-GB"/>
        </w:rPr>
        <w:t>13.2. The Candidate shall prepare and submit the Application in accordance with the instructions provided in the user manual of the E-Tenders System</w:t>
      </w:r>
      <w:r w:rsidRPr="00C86B07">
        <w:rPr>
          <w:rStyle w:val="FootnoteReference"/>
          <w:lang w:val="en-GB" w:eastAsia="en-US"/>
        </w:rPr>
        <w:footnoteReference w:id="9"/>
      </w:r>
      <w:r w:rsidRPr="00C86B07">
        <w:rPr>
          <w:lang w:val="en-GB" w:eastAsia="en-US"/>
        </w:rPr>
        <w:t>.</w:t>
      </w:r>
    </w:p>
    <w:p w:rsidR="00BA2705" w:rsidRPr="00C86B07" w:rsidRDefault="00BA2705">
      <w:pPr>
        <w:jc w:val="both"/>
        <w:rPr>
          <w:lang w:val="en-GB" w:eastAsia="en-US"/>
        </w:rPr>
      </w:pPr>
    </w:p>
    <w:p w:rsidR="00BA2705" w:rsidRPr="00C86B07" w:rsidRDefault="00931873">
      <w:pPr>
        <w:jc w:val="both"/>
        <w:rPr>
          <w:lang w:val="en-GB"/>
        </w:rPr>
      </w:pPr>
      <w:r w:rsidRPr="00C86B07">
        <w:rPr>
          <w:lang w:val="en-GB"/>
        </w:rPr>
        <w:t>13.3. The Candidate shall submit the Application in electronic form (</w:t>
      </w:r>
      <w:proofErr w:type="spellStart"/>
      <w:r w:rsidRPr="00C86B07">
        <w:rPr>
          <w:lang w:val="en-GB"/>
        </w:rPr>
        <w:t>edoc</w:t>
      </w:r>
      <w:proofErr w:type="spellEnd"/>
      <w:r w:rsidRPr="00C86B07">
        <w:rPr>
          <w:lang w:val="en-GB"/>
        </w:rPr>
        <w:t xml:space="preserve">, doc, docx, </w:t>
      </w:r>
      <w:proofErr w:type="spellStart"/>
      <w:r w:rsidRPr="00C86B07">
        <w:rPr>
          <w:lang w:val="en-GB"/>
        </w:rPr>
        <w:t>xls</w:t>
      </w:r>
      <w:proofErr w:type="spellEnd"/>
      <w:r w:rsidRPr="00C86B07">
        <w:rPr>
          <w:lang w:val="en-GB"/>
        </w:rPr>
        <w:t xml:space="preserve">, xlsx, </w:t>
      </w:r>
      <w:proofErr w:type="spellStart"/>
      <w:r w:rsidRPr="00C86B07">
        <w:rPr>
          <w:lang w:val="en-GB"/>
        </w:rPr>
        <w:t>odf</w:t>
      </w:r>
      <w:proofErr w:type="spellEnd"/>
      <w:r w:rsidRPr="00C86B07">
        <w:rPr>
          <w:lang w:val="en-GB"/>
        </w:rPr>
        <w:t xml:space="preserve"> or pdf format), with the documents included in the Application signed together as one file, </w:t>
      </w:r>
      <w:proofErr w:type="gramStart"/>
      <w:r w:rsidRPr="00C86B07">
        <w:rPr>
          <w:lang w:val="en-GB"/>
        </w:rPr>
        <w:t>taking into account</w:t>
      </w:r>
      <w:proofErr w:type="gramEnd"/>
      <w:r w:rsidRPr="00C86B07">
        <w:rPr>
          <w:lang w:val="en-GB"/>
        </w:rPr>
        <w:t xml:space="preserve"> that the recommended size of one file is up to 5 MB</w:t>
      </w:r>
      <w:r w:rsidRPr="00C86B07">
        <w:rPr>
          <w:rStyle w:val="FootnoteReference"/>
          <w:lang w:val="en-GB"/>
        </w:rPr>
        <w:footnoteReference w:id="10"/>
      </w:r>
      <w:r w:rsidRPr="00C86B07">
        <w:rPr>
          <w:lang w:val="en-GB"/>
        </w:rPr>
        <w:t>.</w:t>
      </w:r>
    </w:p>
    <w:p w:rsidR="00BA2705" w:rsidRPr="00C86B07" w:rsidRDefault="00BA2705">
      <w:pPr>
        <w:jc w:val="both"/>
        <w:rPr>
          <w:lang w:val="en-GB"/>
        </w:rPr>
      </w:pPr>
    </w:p>
    <w:p w:rsidR="00BA2705" w:rsidRPr="00C86B07" w:rsidRDefault="00931873">
      <w:pPr>
        <w:jc w:val="both"/>
        <w:rPr>
          <w:lang w:val="en-GB"/>
        </w:rPr>
      </w:pPr>
      <w:r w:rsidRPr="00C86B07">
        <w:rPr>
          <w:lang w:val="en-GB"/>
        </w:rPr>
        <w:t xml:space="preserve">13.4. The Candidate shall prepare the Application documents in Latvian or English. If a document intended for inclusion in the Application is in another language, the Candidate shall attach a translation into Latvian or English certified by the Candidate. The Candidate is entitled </w:t>
      </w:r>
      <w:r w:rsidRPr="00C86B07">
        <w:rPr>
          <w:lang w:val="en-GB"/>
        </w:rPr>
        <w:lastRenderedPageBreak/>
        <w:t>to certify the correctness of all copies and translations of documents submitted in the Application by means of one certification.</w:t>
      </w:r>
    </w:p>
    <w:p w:rsidR="00BA2705" w:rsidRPr="00C86B07" w:rsidRDefault="00BA2705">
      <w:pPr>
        <w:jc w:val="both"/>
        <w:rPr>
          <w:lang w:val="en-GB"/>
        </w:rPr>
      </w:pPr>
    </w:p>
    <w:p w:rsidR="00BA2705" w:rsidRPr="00C86B07" w:rsidRDefault="00931873">
      <w:pPr>
        <w:jc w:val="both"/>
        <w:rPr>
          <w:lang w:val="en-GB"/>
        </w:rPr>
      </w:pPr>
      <w:r w:rsidRPr="00C86B07">
        <w:rPr>
          <w:lang w:val="en-GB"/>
        </w:rPr>
        <w:t>13.5. The Application documents shall be signed electronically in one of the following ways:</w:t>
      </w:r>
    </w:p>
    <w:p w:rsidR="00BA2705" w:rsidRPr="00C86B07" w:rsidRDefault="00931873">
      <w:pPr>
        <w:tabs>
          <w:tab w:val="left" w:pos="360"/>
        </w:tabs>
        <w:jc w:val="both"/>
        <w:rPr>
          <w:lang w:val="en-GB"/>
        </w:rPr>
      </w:pPr>
      <w:r w:rsidRPr="00C86B07">
        <w:rPr>
          <w:lang w:val="en-GB" w:eastAsia="en-US"/>
        </w:rPr>
        <w:t>13.5.1. using the signature tool integrated into the E-Tenders System;</w:t>
      </w:r>
    </w:p>
    <w:p w:rsidR="00BA2705" w:rsidRPr="00C86B07" w:rsidRDefault="00931873">
      <w:pPr>
        <w:tabs>
          <w:tab w:val="left" w:pos="360"/>
        </w:tabs>
        <w:jc w:val="both"/>
        <w:rPr>
          <w:lang w:val="en-GB"/>
        </w:rPr>
      </w:pPr>
      <w:r w:rsidRPr="00C86B07">
        <w:rPr>
          <w:lang w:val="en-GB" w:eastAsia="en-US"/>
        </w:rPr>
        <w:t>13.5.2. using a secure electronic signature.</w:t>
      </w:r>
    </w:p>
    <w:p w:rsidR="00BA2705" w:rsidRPr="00C86B07" w:rsidRDefault="00BA2705">
      <w:pPr>
        <w:tabs>
          <w:tab w:val="left" w:pos="360"/>
        </w:tabs>
        <w:jc w:val="both"/>
        <w:rPr>
          <w:lang w:val="en-GB" w:eastAsia="en-US"/>
        </w:rPr>
      </w:pPr>
    </w:p>
    <w:p w:rsidR="00BA2705" w:rsidRPr="00C86B07" w:rsidRDefault="00931873">
      <w:pPr>
        <w:tabs>
          <w:tab w:val="left" w:pos="360"/>
        </w:tabs>
        <w:jc w:val="both"/>
        <w:rPr>
          <w:lang w:val="en-GB"/>
        </w:rPr>
      </w:pPr>
      <w:r w:rsidRPr="00C86B07">
        <w:rPr>
          <w:lang w:val="en-GB" w:eastAsia="en-US"/>
        </w:rPr>
        <w:t>Note. If the Application (the complete set of Application documents) has been signed by one person, but a specific Application document has also been signed separately by another person (who was required to sign it under the Regulations and has signing authority), the specific document shall be deemed to have been signed solely and exclusively by the person who signed the document separately (i.e. the person who signed the complete set of Application documents shall be deemed not to have signed the specific document).</w:t>
      </w:r>
      <w:bookmarkStart w:id="0" w:name="_Ref97787306"/>
    </w:p>
    <w:p w:rsidR="00BA2705" w:rsidRPr="00C86B07" w:rsidRDefault="00BA2705">
      <w:pPr>
        <w:tabs>
          <w:tab w:val="left" w:pos="360"/>
        </w:tabs>
        <w:jc w:val="both"/>
        <w:rPr>
          <w:lang w:val="en-GB" w:eastAsia="en-US"/>
        </w:rPr>
      </w:pPr>
    </w:p>
    <w:p w:rsidR="00BA2705" w:rsidRPr="00C86B07" w:rsidRDefault="00931873">
      <w:pPr>
        <w:tabs>
          <w:tab w:val="left" w:pos="0"/>
        </w:tabs>
        <w:jc w:val="both"/>
        <w:rPr>
          <w:lang w:val="en-GB" w:eastAsia="en-US"/>
        </w:rPr>
      </w:pPr>
      <w:r w:rsidRPr="00C86B07">
        <w:rPr>
          <w:lang w:val="en-GB" w:eastAsia="en-US"/>
        </w:rPr>
        <w:t>13.6. If the Application documents are signed by a person whose right of representation is not entered in the Commercial Register of the Republic of Latvia or another equivalent public register, the Candidate shall attach to the Application a document certifying the right of representation of that person (for example, a document from the commercial register of the relevant country, a power of attorney, etc.), or a copy of such document.</w:t>
      </w:r>
    </w:p>
    <w:p w:rsidR="00BA2705" w:rsidRPr="00C86B07" w:rsidRDefault="00931873">
      <w:pPr>
        <w:jc w:val="both"/>
        <w:rPr>
          <w:lang w:val="en-GB"/>
        </w:rPr>
      </w:pPr>
      <w:r w:rsidRPr="00C86B07">
        <w:rPr>
          <w:bCs/>
          <w:lang w:val="en-GB" w:eastAsia="en-US"/>
        </w:rPr>
        <w:t>13.7. Applications submitted outside the E-Tenders System shall not be examined. Applications of Candidates received outside the E-Tenders System shall not be opened, and the Contracting Authority shall return them unopened to the submitter.</w:t>
      </w:r>
      <w:bookmarkEnd w:id="0"/>
    </w:p>
    <w:p w:rsidR="00BA2705" w:rsidRPr="00C86B07" w:rsidRDefault="00BA2705">
      <w:pPr>
        <w:jc w:val="both"/>
        <w:rPr>
          <w:lang w:val="en-GB" w:eastAsia="en-US"/>
        </w:rPr>
      </w:pPr>
    </w:p>
    <w:p w:rsidR="00BA2705" w:rsidRPr="00C86B07" w:rsidRDefault="00931873">
      <w:pPr>
        <w:jc w:val="both"/>
        <w:rPr>
          <w:lang w:val="en-GB"/>
        </w:rPr>
      </w:pPr>
      <w:r w:rsidRPr="00C86B07">
        <w:rPr>
          <w:lang w:val="en-GB"/>
        </w:rPr>
        <w:t>13.8. The Candidate shall indicate the parts of the Application which contain information regarded as a trade secret or confidential information, as well as the legal basis for such status.</w:t>
      </w:r>
    </w:p>
    <w:p w:rsidR="00BA2705" w:rsidRPr="00C86B07" w:rsidRDefault="00BA2705">
      <w:pPr>
        <w:jc w:val="both"/>
        <w:rPr>
          <w:lang w:val="en-GB"/>
        </w:rPr>
      </w:pPr>
    </w:p>
    <w:p w:rsidR="00BA2705" w:rsidRPr="00C86B07" w:rsidRDefault="00931873">
      <w:pPr>
        <w:jc w:val="both"/>
        <w:rPr>
          <w:lang w:val="en-GB"/>
        </w:rPr>
      </w:pPr>
      <w:r w:rsidRPr="00C86B07">
        <w:rPr>
          <w:lang w:val="en-GB"/>
        </w:rPr>
        <w:t>13.9. The Candidate shall submit the Application in the E-Tenders System by completing the forms placed in the Procurement section or by preparing documents outside the E-Tenders System and uploading completed forms to the relevant sections of the system. The Candidate shall be responsible for the compliance of the forms to be completed with the documentation requirements and form templates, as well as for the possibility of opening and reading the documents.</w:t>
      </w:r>
    </w:p>
    <w:p w:rsidR="00BA2705" w:rsidRPr="00C86B07" w:rsidRDefault="00BA2705">
      <w:pPr>
        <w:jc w:val="both"/>
        <w:rPr>
          <w:lang w:val="en-GB"/>
        </w:rPr>
      </w:pPr>
    </w:p>
    <w:p w:rsidR="00BA2705" w:rsidRPr="00C86B07" w:rsidRDefault="00931873">
      <w:pPr>
        <w:jc w:val="both"/>
        <w:rPr>
          <w:lang w:val="en-GB"/>
        </w:rPr>
      </w:pPr>
      <w:r w:rsidRPr="00C86B07">
        <w:rPr>
          <w:lang w:val="en-GB"/>
        </w:rPr>
        <w:t>13.10. The Candidate shall prepare the Application in such a way that the operation of the E-Tenders System is not endangered in any manner and access to the information included in the Application is not restricted, including that the attached files must not be corrupted, improperly modified or incorrectly encrypted. The Application must not contain computer viruses or other malicious software or generators thereof. If the Application contains any of the risks referred to in this Clause, it shall not be examined.</w:t>
      </w:r>
    </w:p>
    <w:p w:rsidR="00BA2705" w:rsidRPr="00C86B07" w:rsidRDefault="00BA2705">
      <w:pPr>
        <w:jc w:val="both"/>
        <w:rPr>
          <w:lang w:val="en-GB"/>
        </w:rPr>
      </w:pPr>
    </w:p>
    <w:p w:rsidR="00BA2705" w:rsidRPr="00C86B07" w:rsidRDefault="00931873">
      <w:pPr>
        <w:jc w:val="both"/>
        <w:rPr>
          <w:lang w:val="en-GB"/>
        </w:rPr>
      </w:pPr>
      <w:r w:rsidRPr="00C86B07">
        <w:rPr>
          <w:lang w:val="en-GB"/>
        </w:rPr>
        <w:t>13.11. The Candidate may withdraw or amend its Application at any time before expiry of the time limit for submission of Applications. Amendments or withdrawal shall be submitted only electronically using the E-Tenders System. Withdrawn Applications and Applications submitted after expiry of the time limit for submission of Applications shall not be opened.</w:t>
      </w:r>
    </w:p>
    <w:p w:rsidR="00BA2705" w:rsidRPr="00C86B07" w:rsidRDefault="00BA2705">
      <w:pPr>
        <w:jc w:val="both"/>
        <w:rPr>
          <w:lang w:val="en-GB"/>
        </w:rPr>
      </w:pPr>
    </w:p>
    <w:p w:rsidR="00BA2705" w:rsidRPr="00C86B07" w:rsidRDefault="00931873">
      <w:pPr>
        <w:tabs>
          <w:tab w:val="left" w:pos="426"/>
        </w:tabs>
        <w:rPr>
          <w:lang w:val="en-GB"/>
        </w:rPr>
      </w:pPr>
      <w:r w:rsidRPr="00C86B07">
        <w:rPr>
          <w:b/>
          <w:lang w:val="en-GB"/>
        </w:rPr>
        <w:t>14.</w:t>
      </w:r>
      <w:r w:rsidRPr="00C86B07">
        <w:rPr>
          <w:b/>
          <w:lang w:val="en-GB"/>
        </w:rPr>
        <w:tab/>
        <w:t>Submission of the Application</w:t>
      </w:r>
      <w:r w:rsidRPr="00C86B07">
        <w:rPr>
          <w:b/>
          <w:lang w:val="en-GB"/>
        </w:rPr>
        <w:tab/>
      </w:r>
    </w:p>
    <w:p w:rsidR="00BA2705" w:rsidRPr="00C86B07" w:rsidRDefault="00BA2705">
      <w:pPr>
        <w:tabs>
          <w:tab w:val="left" w:pos="540"/>
        </w:tabs>
        <w:jc w:val="both"/>
        <w:rPr>
          <w:b/>
          <w:lang w:val="en-GB"/>
        </w:rPr>
      </w:pPr>
    </w:p>
    <w:p w:rsidR="00BA2705" w:rsidRPr="00C86B07" w:rsidRDefault="00931873">
      <w:pPr>
        <w:tabs>
          <w:tab w:val="left" w:pos="360"/>
        </w:tabs>
        <w:jc w:val="both"/>
        <w:rPr>
          <w:lang w:val="en-GB"/>
        </w:rPr>
      </w:pPr>
      <w:r w:rsidRPr="00C86B07">
        <w:rPr>
          <w:lang w:val="en-GB"/>
        </w:rPr>
        <w:t>The Candidate shall submit the Application to the Contracting Authority electronically — in the Procurement section of the E-Tenders System. The Candidate shall submit the Application to the Contracting Authority by 2</w:t>
      </w:r>
      <w:r w:rsidR="003021DA">
        <w:rPr>
          <w:lang w:val="en-GB"/>
        </w:rPr>
        <w:t>1</w:t>
      </w:r>
      <w:r w:rsidRPr="00C86B07">
        <w:rPr>
          <w:lang w:val="en-GB"/>
        </w:rPr>
        <w:t xml:space="preserve"> August 2026 at 11:00.</w:t>
      </w:r>
    </w:p>
    <w:p w:rsidR="00BA2705" w:rsidRPr="00C86B07" w:rsidRDefault="00BA2705">
      <w:pPr>
        <w:tabs>
          <w:tab w:val="left" w:pos="426"/>
        </w:tabs>
        <w:jc w:val="both"/>
        <w:rPr>
          <w:b/>
          <w:lang w:val="en-GB" w:eastAsia="en-US"/>
        </w:rPr>
      </w:pPr>
    </w:p>
    <w:p w:rsidR="00BA2705" w:rsidRPr="00C86B07" w:rsidRDefault="00931873">
      <w:pPr>
        <w:tabs>
          <w:tab w:val="left" w:pos="426"/>
        </w:tabs>
        <w:jc w:val="both"/>
        <w:rPr>
          <w:lang w:val="en-GB"/>
        </w:rPr>
      </w:pPr>
      <w:r w:rsidRPr="00C86B07">
        <w:rPr>
          <w:b/>
          <w:lang w:val="en-GB"/>
        </w:rPr>
        <w:t>15. Opening of Applications</w:t>
      </w:r>
    </w:p>
    <w:p w:rsidR="00BA2705" w:rsidRPr="00C86B07" w:rsidRDefault="00BA2705">
      <w:pPr>
        <w:tabs>
          <w:tab w:val="left" w:pos="360"/>
        </w:tabs>
        <w:jc w:val="both"/>
        <w:rPr>
          <w:b/>
          <w:lang w:val="en-GB"/>
        </w:rPr>
      </w:pPr>
    </w:p>
    <w:p w:rsidR="00BA2705" w:rsidRPr="00C86B07" w:rsidRDefault="00931873">
      <w:pPr>
        <w:tabs>
          <w:tab w:val="left" w:pos="360"/>
        </w:tabs>
        <w:jc w:val="both"/>
        <w:rPr>
          <w:lang w:val="en-GB"/>
        </w:rPr>
      </w:pPr>
      <w:r w:rsidRPr="00C86B07">
        <w:rPr>
          <w:lang w:val="en-GB"/>
        </w:rPr>
        <w:t>15.1. The Contracting Authority shall open the submitted Applications on 2</w:t>
      </w:r>
      <w:r w:rsidR="003021DA">
        <w:rPr>
          <w:lang w:val="en-GB"/>
        </w:rPr>
        <w:t>1</w:t>
      </w:r>
      <w:r w:rsidRPr="00C86B07">
        <w:rPr>
          <w:lang w:val="en-GB"/>
        </w:rPr>
        <w:t xml:space="preserve"> August 2026 at 15:00. The Application opening procedure shall take place in the Procurement section of the E-Tenders System.</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15.2. If the Candidate has applied second-level encryption to the Application</w:t>
      </w:r>
      <w:r w:rsidRPr="00C86B07">
        <w:rPr>
          <w:rStyle w:val="FootnoteReference"/>
          <w:lang w:val="en-GB"/>
        </w:rPr>
        <w:footnoteReference w:id="11"/>
      </w:r>
      <w:r w:rsidRPr="00C86B07">
        <w:rPr>
          <w:lang w:val="en-GB"/>
        </w:rPr>
        <w:t>, the Candidate shall decrypt the Application within 15 minutes after the actual commencement of the opening of Applications (i.e. from the moment when Candidates are notified in the E-Tenders System that the Application opening meeting has commenced). The Candidate shall decrypt the Application using the tools available in the E-Tenders System.</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b/>
          <w:lang w:val="en-GB"/>
        </w:rPr>
        <w:t>16. Presumption of Non-Submission of the Application</w:t>
      </w:r>
    </w:p>
    <w:p w:rsidR="00BA2705" w:rsidRPr="00C86B07" w:rsidRDefault="00BA2705">
      <w:pPr>
        <w:tabs>
          <w:tab w:val="left" w:pos="360"/>
        </w:tabs>
        <w:jc w:val="both"/>
        <w:rPr>
          <w:b/>
          <w:lang w:val="en-GB"/>
        </w:rPr>
      </w:pPr>
    </w:p>
    <w:p w:rsidR="00BA2705" w:rsidRPr="00C86B07" w:rsidRDefault="00931873">
      <w:pPr>
        <w:tabs>
          <w:tab w:val="left" w:pos="360"/>
        </w:tabs>
        <w:jc w:val="both"/>
        <w:rPr>
          <w:lang w:val="en-GB"/>
        </w:rPr>
      </w:pPr>
      <w:r w:rsidRPr="00C86B07">
        <w:rPr>
          <w:lang w:val="en-GB"/>
        </w:rPr>
        <w:t>16.1. An Application document shall be deemed not to have been submitted if:</w:t>
      </w:r>
    </w:p>
    <w:p w:rsidR="00BA2705" w:rsidRPr="00C86B07" w:rsidRDefault="00931873">
      <w:pPr>
        <w:tabs>
          <w:tab w:val="left" w:pos="360"/>
        </w:tabs>
        <w:jc w:val="both"/>
        <w:rPr>
          <w:lang w:val="en-GB"/>
        </w:rPr>
      </w:pPr>
      <w:r w:rsidRPr="00C86B07">
        <w:rPr>
          <w:lang w:val="en-GB"/>
        </w:rPr>
        <w:t>16.1.1. the type of the relevant file does not comply with Sub-clause 13.3 of the Regulations and the relevant file cannot be opened with the software used by the Contracting Authority;</w:t>
      </w:r>
    </w:p>
    <w:p w:rsidR="00BA2705" w:rsidRPr="00C86B07" w:rsidRDefault="00931873">
      <w:pPr>
        <w:tabs>
          <w:tab w:val="left" w:pos="360"/>
        </w:tabs>
        <w:jc w:val="both"/>
        <w:rPr>
          <w:lang w:val="en-GB"/>
        </w:rPr>
      </w:pPr>
      <w:r w:rsidRPr="00C86B07">
        <w:rPr>
          <w:lang w:val="en-GB"/>
        </w:rPr>
        <w:t>16.1.2. the relevant file is technically corrupted and cannot be opened;</w:t>
      </w:r>
    </w:p>
    <w:p w:rsidR="00BA2705" w:rsidRPr="00C86B07" w:rsidRDefault="00931873">
      <w:pPr>
        <w:widowControl w:val="0"/>
        <w:tabs>
          <w:tab w:val="left" w:pos="360"/>
        </w:tabs>
        <w:jc w:val="both"/>
        <w:rPr>
          <w:lang w:val="en-GB"/>
        </w:rPr>
      </w:pPr>
      <w:r w:rsidRPr="00C86B07">
        <w:rPr>
          <w:lang w:val="en-GB"/>
        </w:rPr>
        <w:t>16.1.3. opening of the relevant file is blocked by antivirus software as potentially dangerous;</w:t>
      </w:r>
    </w:p>
    <w:p w:rsidR="00BA2705" w:rsidRPr="00C86B07" w:rsidRDefault="00931873">
      <w:pPr>
        <w:widowControl w:val="0"/>
        <w:tabs>
          <w:tab w:val="left" w:pos="360"/>
        </w:tabs>
        <w:jc w:val="both"/>
        <w:rPr>
          <w:lang w:val="en-GB"/>
        </w:rPr>
      </w:pPr>
      <w:r w:rsidRPr="00C86B07">
        <w:rPr>
          <w:lang w:val="en-GB"/>
        </w:rPr>
        <w:t>16.1.4. the relevant file cannot be opened because the Candidate has applied second-level encryption to the Application and made errors in the encryption or decryption process of the Application, or has not decrypted the Application at all;</w:t>
      </w:r>
    </w:p>
    <w:p w:rsidR="00BA2705" w:rsidRPr="00C86B07" w:rsidRDefault="00931873">
      <w:pPr>
        <w:tabs>
          <w:tab w:val="left" w:pos="360"/>
        </w:tabs>
        <w:jc w:val="both"/>
        <w:rPr>
          <w:lang w:val="en-GB"/>
        </w:rPr>
      </w:pPr>
      <w:r w:rsidRPr="00C86B07">
        <w:rPr>
          <w:lang w:val="en-GB"/>
        </w:rPr>
        <w:t>16.1.5. opening of the relevant file could in any manner endanger the operation of the E-Tenders System.</w:t>
      </w:r>
    </w:p>
    <w:p w:rsidR="00BA2705" w:rsidRPr="00C86B07" w:rsidRDefault="00BA2705">
      <w:pPr>
        <w:tabs>
          <w:tab w:val="left" w:pos="360"/>
        </w:tabs>
        <w:jc w:val="center"/>
        <w:rPr>
          <w:b/>
          <w:lang w:val="en-GB"/>
        </w:rPr>
      </w:pPr>
    </w:p>
    <w:p w:rsidR="00BA2705" w:rsidRPr="00C86B07" w:rsidRDefault="00931873">
      <w:pPr>
        <w:tabs>
          <w:tab w:val="left" w:pos="360"/>
        </w:tabs>
        <w:jc w:val="center"/>
        <w:rPr>
          <w:b/>
          <w:lang w:val="en-GB"/>
        </w:rPr>
      </w:pPr>
      <w:r w:rsidRPr="00C86B07">
        <w:rPr>
          <w:b/>
          <w:lang w:val="en-GB"/>
        </w:rPr>
        <w:t>Chapter IV.</w:t>
      </w:r>
    </w:p>
    <w:p w:rsidR="00BA2705" w:rsidRPr="00C86B07" w:rsidRDefault="00931873">
      <w:pPr>
        <w:tabs>
          <w:tab w:val="left" w:pos="360"/>
        </w:tabs>
        <w:jc w:val="center"/>
        <w:rPr>
          <w:lang w:val="en-GB"/>
        </w:rPr>
      </w:pPr>
      <w:r w:rsidRPr="00C86B07">
        <w:rPr>
          <w:b/>
          <w:lang w:val="en-GB"/>
        </w:rPr>
        <w:t>Verification of the Form of Applications and Selection of Candidates</w:t>
      </w:r>
    </w:p>
    <w:p w:rsidR="00BA2705" w:rsidRPr="00C86B07" w:rsidRDefault="00BA2705">
      <w:pPr>
        <w:tabs>
          <w:tab w:val="left" w:pos="360"/>
        </w:tabs>
        <w:rPr>
          <w:b/>
          <w:lang w:val="en-GB"/>
        </w:rPr>
      </w:pPr>
    </w:p>
    <w:p w:rsidR="00BA2705" w:rsidRPr="00C86B07" w:rsidRDefault="00931873">
      <w:pPr>
        <w:tabs>
          <w:tab w:val="left" w:pos="426"/>
        </w:tabs>
        <w:rPr>
          <w:lang w:val="en-GB"/>
        </w:rPr>
      </w:pPr>
      <w:r w:rsidRPr="00C86B07">
        <w:rPr>
          <w:b/>
          <w:lang w:val="en-GB"/>
        </w:rPr>
        <w:t>17. Verification of the Form of the Application</w:t>
      </w:r>
    </w:p>
    <w:p w:rsidR="00BA2705" w:rsidRPr="00C86B07" w:rsidRDefault="00BA2705">
      <w:pPr>
        <w:tabs>
          <w:tab w:val="left" w:pos="426"/>
        </w:tabs>
        <w:rPr>
          <w:b/>
          <w:lang w:val="en-GB"/>
        </w:rPr>
      </w:pPr>
    </w:p>
    <w:p w:rsidR="00BA2705" w:rsidRPr="00C86B07" w:rsidRDefault="00931873">
      <w:pPr>
        <w:tabs>
          <w:tab w:val="left" w:pos="426"/>
        </w:tabs>
        <w:jc w:val="both"/>
        <w:rPr>
          <w:lang w:val="en-GB"/>
        </w:rPr>
      </w:pPr>
      <w:r w:rsidRPr="00C86B07">
        <w:rPr>
          <w:lang w:val="en-GB"/>
        </w:rPr>
        <w:t>The Contracting Authority shall verify whether the Candidate’s Application includes all documents provided for by the Regulations, whether the Application has been signed (including by means of the E-Tenders System signature) by a person authorised to sign on behalf of the Candidate, and whether the Application complies with the other formal requirements of the Regulations. During verification of the form of the Application, the completeness of the information in the documents included in the Application shall also be verified. If the Tenderer’s Application does not comply with the formal requirements laid down in the Regulations, the Contracting Authority, having assessed the materiality of the particular non-compliance, may decide not to exclude the Tenderer from participation in the Procurement.</w:t>
      </w:r>
    </w:p>
    <w:p w:rsidR="00BA2705" w:rsidRPr="00C86B07" w:rsidRDefault="00BA2705">
      <w:pPr>
        <w:tabs>
          <w:tab w:val="left" w:pos="426"/>
        </w:tabs>
        <w:rPr>
          <w:b/>
          <w:lang w:val="en-GB"/>
        </w:rPr>
      </w:pPr>
    </w:p>
    <w:p w:rsidR="00BA2705" w:rsidRPr="00C86B07" w:rsidRDefault="00931873">
      <w:pPr>
        <w:tabs>
          <w:tab w:val="left" w:pos="426"/>
        </w:tabs>
        <w:rPr>
          <w:lang w:val="en-GB"/>
        </w:rPr>
      </w:pPr>
      <w:r w:rsidRPr="00C86B07">
        <w:rPr>
          <w:b/>
          <w:lang w:val="en-GB"/>
        </w:rPr>
        <w:t>18. Selection of Candidates</w:t>
      </w:r>
    </w:p>
    <w:p w:rsidR="00BA2705" w:rsidRPr="00C86B07" w:rsidRDefault="00BA2705">
      <w:pPr>
        <w:tabs>
          <w:tab w:val="left" w:pos="360"/>
        </w:tabs>
        <w:rPr>
          <w:b/>
          <w:lang w:val="en-GB"/>
        </w:rPr>
      </w:pPr>
    </w:p>
    <w:p w:rsidR="00BA2705" w:rsidRPr="00C86B07" w:rsidRDefault="00931873">
      <w:pPr>
        <w:widowControl w:val="0"/>
        <w:tabs>
          <w:tab w:val="left" w:pos="567"/>
        </w:tabs>
        <w:jc w:val="both"/>
        <w:rPr>
          <w:lang w:val="en-GB"/>
        </w:rPr>
      </w:pPr>
      <w:r w:rsidRPr="00C86B07">
        <w:rPr>
          <w:lang w:val="en-GB"/>
        </w:rPr>
        <w:t>18.1. The Contracting Authority shall verify whether the Candidate’s Application complies with the Regulations, whether the information provided in the Candidate’s Application is true, whether the Candidate complies with the qualification requirements laid down in the Regulations, and whether the Candidate is not subject to the grounds for exclusion of Suppliers provided for in Section 42, Paragraph two, Clauses 1, 2, 3, 4, 5, 6, 7, 10, 11, 12, 13 and 14 of the Public Procurement Law.</w:t>
      </w:r>
    </w:p>
    <w:p w:rsidR="00BA2705" w:rsidRPr="00C86B07" w:rsidRDefault="00BA2705">
      <w:pPr>
        <w:tabs>
          <w:tab w:val="left" w:pos="567"/>
        </w:tabs>
        <w:jc w:val="both"/>
        <w:rPr>
          <w:lang w:val="en-GB"/>
        </w:rPr>
      </w:pPr>
    </w:p>
    <w:p w:rsidR="00BA2705" w:rsidRPr="00C86B07" w:rsidRDefault="00931873">
      <w:pPr>
        <w:tabs>
          <w:tab w:val="left" w:pos="567"/>
        </w:tabs>
        <w:jc w:val="both"/>
        <w:rPr>
          <w:lang w:val="en-GB"/>
        </w:rPr>
      </w:pPr>
      <w:r w:rsidRPr="00C86B07">
        <w:rPr>
          <w:lang w:val="en-GB"/>
        </w:rPr>
        <w:lastRenderedPageBreak/>
        <w:t>18.2. If the Candidate’s Application does not comply with the selection requirements laid down in the Regulations or the information provided in the Candidate’s Application is false, the Contracting Authority shall decide to exclude the Candidate from further participation in the Procurement.</w:t>
      </w:r>
    </w:p>
    <w:p w:rsidR="00BA2705" w:rsidRPr="00C86B07" w:rsidRDefault="00BA2705">
      <w:pPr>
        <w:widowControl w:val="0"/>
        <w:tabs>
          <w:tab w:val="left" w:pos="567"/>
        </w:tabs>
        <w:jc w:val="both"/>
        <w:rPr>
          <w:lang w:val="en-GB"/>
        </w:rPr>
      </w:pPr>
    </w:p>
    <w:p w:rsidR="00BA2705" w:rsidRPr="00C86B07" w:rsidRDefault="00931873">
      <w:pPr>
        <w:tabs>
          <w:tab w:val="left" w:pos="567"/>
        </w:tabs>
        <w:jc w:val="both"/>
        <w:rPr>
          <w:lang w:val="en-GB"/>
        </w:rPr>
      </w:pPr>
      <w:r w:rsidRPr="00C86B07">
        <w:rPr>
          <w:b/>
          <w:iCs/>
          <w:lang w:val="en-GB" w:eastAsia="ru-RU"/>
        </w:rPr>
        <w:t>19. Reduction of the Number of Candidates</w:t>
      </w:r>
    </w:p>
    <w:p w:rsidR="00BA2705" w:rsidRPr="00C86B07" w:rsidRDefault="00BA2705">
      <w:pPr>
        <w:tabs>
          <w:tab w:val="left" w:pos="567"/>
        </w:tabs>
        <w:jc w:val="both"/>
        <w:rPr>
          <w:b/>
          <w:iCs/>
          <w:lang w:val="en-GB" w:eastAsia="ru-RU"/>
        </w:rPr>
      </w:pPr>
    </w:p>
    <w:p w:rsidR="00BA2705" w:rsidRPr="00C86B07" w:rsidRDefault="00931873">
      <w:pPr>
        <w:tabs>
          <w:tab w:val="left" w:pos="567"/>
        </w:tabs>
        <w:jc w:val="both"/>
        <w:rPr>
          <w:lang w:val="en-GB"/>
        </w:rPr>
      </w:pPr>
      <w:r w:rsidRPr="00C86B07">
        <w:rPr>
          <w:shd w:val="clear" w:color="auto" w:fill="FFFFFF"/>
          <w:lang w:val="en-GB"/>
        </w:rPr>
        <w:t>Due to the limited competition in the field of the subject-matter of the Procurement, no reduction of the number of Candidates is envisaged.</w:t>
      </w:r>
    </w:p>
    <w:p w:rsidR="00BA2705" w:rsidRPr="00C86B07" w:rsidRDefault="00BA2705">
      <w:pPr>
        <w:tabs>
          <w:tab w:val="left" w:pos="567"/>
        </w:tabs>
        <w:jc w:val="both"/>
        <w:rPr>
          <w:color w:val="414142"/>
          <w:shd w:val="clear" w:color="auto" w:fill="FFFFFF"/>
          <w:lang w:val="en-GB"/>
        </w:rPr>
      </w:pPr>
    </w:p>
    <w:p w:rsidR="00BA2705" w:rsidRPr="00C86B07" w:rsidRDefault="00931873">
      <w:pPr>
        <w:tabs>
          <w:tab w:val="left" w:pos="540"/>
        </w:tabs>
        <w:jc w:val="both"/>
        <w:rPr>
          <w:lang w:val="en-GB"/>
        </w:rPr>
      </w:pPr>
      <w:r w:rsidRPr="00C86B07">
        <w:rPr>
          <w:b/>
          <w:lang w:val="en-GB"/>
        </w:rPr>
        <w:t>20. Application of Section 42 of the Public Procurement Law</w:t>
      </w:r>
    </w:p>
    <w:p w:rsidR="00BA2705" w:rsidRPr="00C86B07" w:rsidRDefault="00BA2705">
      <w:pPr>
        <w:tabs>
          <w:tab w:val="left" w:pos="540"/>
        </w:tabs>
        <w:jc w:val="both"/>
        <w:rPr>
          <w:b/>
          <w:lang w:val="en-GB"/>
        </w:rPr>
      </w:pPr>
    </w:p>
    <w:p w:rsidR="00BA2705" w:rsidRPr="00C86B07" w:rsidRDefault="00931873">
      <w:pPr>
        <w:tabs>
          <w:tab w:val="left" w:pos="540"/>
        </w:tabs>
        <w:jc w:val="both"/>
        <w:rPr>
          <w:lang w:val="en-GB"/>
        </w:rPr>
      </w:pPr>
      <w:r w:rsidRPr="00C86B07">
        <w:rPr>
          <w:lang w:val="en-GB"/>
        </w:rPr>
        <w:t>20.1. After the Contracting Authority has verified the form of the Applications and carried out selection in accordance with the requirements laid down in the Regulations, the Contracting Authority shall verify whether the Candidate is subject to the grounds for exclusion of Suppliers from participation in a procurement procedure provided for in Section 42, Paragraph two, Clauses 1, 2, 3, 4, 5, 6, 7, 10, 11, 12, 13 and 14 of the Public Procurement Law.</w:t>
      </w:r>
    </w:p>
    <w:p w:rsidR="00BA2705" w:rsidRPr="00C86B07" w:rsidRDefault="00BA2705">
      <w:pPr>
        <w:tabs>
          <w:tab w:val="left" w:pos="540"/>
        </w:tabs>
        <w:jc w:val="both"/>
        <w:rPr>
          <w:lang w:val="en-GB"/>
        </w:rPr>
      </w:pPr>
    </w:p>
    <w:p w:rsidR="00BA2705" w:rsidRPr="00C86B07" w:rsidRDefault="00931873">
      <w:pPr>
        <w:tabs>
          <w:tab w:val="left" w:pos="540"/>
        </w:tabs>
        <w:jc w:val="both"/>
        <w:rPr>
          <w:lang w:val="en-GB"/>
        </w:rPr>
      </w:pPr>
      <w:r w:rsidRPr="00C86B07">
        <w:rPr>
          <w:lang w:val="en-GB"/>
        </w:rPr>
        <w:t>20.2. The Contracting Authority shall exclude the Candidate from participation in the Procurement if the Candidate is subject to the grounds for exclusion of Suppliers from participation in a procurement procedure provided for in Section 42, Paragraph two, Clauses 1, 2, 3, 4, 5, 6, 7, 10, 11, 12, 13 and 14 of the Public Procurement Law, unless any of the conditions laid down in Section 42, Paragraph four, Clause 1, 2, 3 or 4 of the Public Procurement Law has occurred.</w:t>
      </w:r>
    </w:p>
    <w:p w:rsidR="00BA2705" w:rsidRPr="00C86B07" w:rsidRDefault="00BA2705">
      <w:pPr>
        <w:tabs>
          <w:tab w:val="left" w:pos="540"/>
        </w:tabs>
        <w:jc w:val="both"/>
        <w:rPr>
          <w:lang w:val="en-GB"/>
        </w:rPr>
      </w:pPr>
    </w:p>
    <w:p w:rsidR="00BA2705" w:rsidRPr="00C86B07" w:rsidRDefault="00931873">
      <w:pPr>
        <w:tabs>
          <w:tab w:val="left" w:pos="540"/>
        </w:tabs>
        <w:jc w:val="center"/>
        <w:rPr>
          <w:b/>
          <w:lang w:val="en-GB"/>
        </w:rPr>
      </w:pPr>
      <w:r w:rsidRPr="00C86B07">
        <w:rPr>
          <w:b/>
          <w:lang w:val="en-GB"/>
        </w:rPr>
        <w:t>Chapter V.</w:t>
      </w:r>
    </w:p>
    <w:p w:rsidR="00BA2705" w:rsidRPr="00C86B07" w:rsidRDefault="00931873">
      <w:pPr>
        <w:tabs>
          <w:tab w:val="left" w:pos="540"/>
        </w:tabs>
        <w:jc w:val="center"/>
        <w:rPr>
          <w:b/>
          <w:lang w:val="en-GB"/>
        </w:rPr>
      </w:pPr>
      <w:r w:rsidRPr="00C86B07">
        <w:rPr>
          <w:b/>
          <w:lang w:val="en-GB"/>
        </w:rPr>
        <w:t>Other Provisions</w:t>
      </w:r>
    </w:p>
    <w:p w:rsidR="00BA2705" w:rsidRPr="00C86B07" w:rsidRDefault="00BA2705">
      <w:pPr>
        <w:tabs>
          <w:tab w:val="left" w:pos="540"/>
        </w:tabs>
        <w:rPr>
          <w:b/>
          <w:lang w:val="en-GB"/>
        </w:rPr>
      </w:pPr>
    </w:p>
    <w:p w:rsidR="00BA2705" w:rsidRPr="00C86B07" w:rsidRDefault="00931873">
      <w:pPr>
        <w:tabs>
          <w:tab w:val="left" w:pos="426"/>
        </w:tabs>
        <w:jc w:val="both"/>
        <w:rPr>
          <w:lang w:val="en-GB"/>
        </w:rPr>
      </w:pPr>
      <w:r w:rsidRPr="00C86B07">
        <w:rPr>
          <w:b/>
          <w:lang w:val="en-GB"/>
        </w:rPr>
        <w:t>21.</w:t>
      </w:r>
      <w:r w:rsidRPr="00C86B07">
        <w:rPr>
          <w:b/>
          <w:lang w:val="en-GB"/>
        </w:rPr>
        <w:tab/>
        <w:t>Clarification of the Provisions of the Regulations</w:t>
      </w:r>
      <w:r w:rsidRPr="00C86B07">
        <w:rPr>
          <w:b/>
          <w:lang w:val="en-GB"/>
        </w:rPr>
        <w:tab/>
      </w:r>
    </w:p>
    <w:p w:rsidR="00BA2705" w:rsidRPr="00C86B07" w:rsidRDefault="00BA2705">
      <w:pPr>
        <w:tabs>
          <w:tab w:val="left" w:pos="360"/>
        </w:tabs>
        <w:jc w:val="both"/>
        <w:rPr>
          <w:b/>
          <w:lang w:val="en-GB"/>
        </w:rPr>
      </w:pPr>
    </w:p>
    <w:p w:rsidR="00BA2705" w:rsidRPr="00C86B07" w:rsidRDefault="00931873">
      <w:pPr>
        <w:tabs>
          <w:tab w:val="left" w:pos="360"/>
        </w:tabs>
        <w:jc w:val="both"/>
        <w:rPr>
          <w:lang w:val="en-GB"/>
        </w:rPr>
      </w:pPr>
      <w:r w:rsidRPr="00C86B07">
        <w:rPr>
          <w:lang w:val="en-GB"/>
        </w:rPr>
        <w:t>21.1. The Candidate has the right to request that the Contracting Authority clarify the provisions of the Regulations. A request may be submitted to the Contracting Authority by delivering it in person or sending it by post or electronically using a secure electronic signature, or by attaching a scanned document to an e-mail.</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21.2. If the Candidate has submitted a request to clarify the provisions of the Regulations to the Contracting Authority in due time, the Contracting Authority shall, within five working days after receipt of the request but not later than six days before expiry of the time limit for submission of Applications, prepare the relevant clarifications of the Regulations and send them to the Candidate who requested them by post or electronically using a secure electronic signature, and shall also place them in the Procurement section of the E-Tenders System.</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21.3. If the Candidate has submitted a request to clarify the provisions of the Regulations to the Contracting Authority in due time, the Contracting Authority shall, within five working days after receipt of the request, prepare the relevant clarifications of the Regulations and send them by post to the Candidate who requested them, and shall also place them in the Procurement section of the E-Tenders System.</w:t>
      </w:r>
    </w:p>
    <w:p w:rsidR="00BA2705" w:rsidRPr="00C86B07" w:rsidRDefault="00BA2705">
      <w:pPr>
        <w:tabs>
          <w:tab w:val="left" w:pos="360"/>
        </w:tabs>
        <w:jc w:val="both"/>
        <w:rPr>
          <w:lang w:val="en-GB"/>
        </w:rPr>
      </w:pPr>
    </w:p>
    <w:p w:rsidR="00BA2705" w:rsidRPr="00C86B07" w:rsidRDefault="00931873">
      <w:pPr>
        <w:tabs>
          <w:tab w:val="left" w:pos="426"/>
        </w:tabs>
        <w:jc w:val="both"/>
        <w:rPr>
          <w:lang w:val="en-GB"/>
        </w:rPr>
      </w:pPr>
      <w:r w:rsidRPr="00C86B07">
        <w:rPr>
          <w:b/>
          <w:lang w:val="en-GB"/>
        </w:rPr>
        <w:t>22.</w:t>
      </w:r>
      <w:r w:rsidRPr="00C86B07">
        <w:rPr>
          <w:b/>
          <w:lang w:val="en-GB"/>
        </w:rPr>
        <w:tab/>
        <w:t>Clarification (Explanation) of the Application</w:t>
      </w:r>
      <w:r w:rsidRPr="00C86B07">
        <w:rPr>
          <w:b/>
          <w:lang w:val="en-GB"/>
        </w:rPr>
        <w:tab/>
      </w:r>
    </w:p>
    <w:p w:rsidR="00BA2705" w:rsidRPr="00C86B07" w:rsidRDefault="00BA2705">
      <w:pPr>
        <w:tabs>
          <w:tab w:val="left" w:pos="360"/>
        </w:tabs>
        <w:jc w:val="both"/>
        <w:rPr>
          <w:b/>
          <w:lang w:val="en-GB"/>
        </w:rPr>
      </w:pPr>
    </w:p>
    <w:p w:rsidR="00BA2705" w:rsidRPr="00C86B07" w:rsidRDefault="00931873">
      <w:pPr>
        <w:tabs>
          <w:tab w:val="left" w:pos="360"/>
        </w:tabs>
        <w:jc w:val="both"/>
        <w:rPr>
          <w:lang w:val="en-GB"/>
        </w:rPr>
      </w:pPr>
      <w:r w:rsidRPr="00C86B07">
        <w:rPr>
          <w:lang w:val="en-GB"/>
        </w:rPr>
        <w:t>22.1. The Contracting Authority has the right to request that the Candidate clarify (explain) its Application.</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22.2. The Contracting Authority shall send a request to clarify (explain) the Application to the Candidate by post or electronically using a secure electronic signature.</w:t>
      </w:r>
    </w:p>
    <w:p w:rsidR="00BA2705" w:rsidRPr="00C86B07" w:rsidRDefault="00BA2705">
      <w:pPr>
        <w:tabs>
          <w:tab w:val="left" w:pos="360"/>
        </w:tabs>
        <w:jc w:val="both"/>
        <w:rPr>
          <w:lang w:val="en-GB"/>
        </w:rPr>
      </w:pPr>
    </w:p>
    <w:p w:rsidR="00BA2705" w:rsidRPr="00C86B07" w:rsidRDefault="00931873">
      <w:pPr>
        <w:tabs>
          <w:tab w:val="left" w:pos="360"/>
        </w:tabs>
        <w:jc w:val="both"/>
        <w:rPr>
          <w:lang w:val="en-GB"/>
        </w:rPr>
      </w:pPr>
      <w:r w:rsidRPr="00C86B07">
        <w:rPr>
          <w:lang w:val="en-GB"/>
        </w:rPr>
        <w:t>22.3. If the Candidate has received a request from the Contracting Authority to clarify (explain) the Application, the Candidate shall, within the time limit specified in the request, prepare the relevant clarifications (explanations) of the Application and submit them to the Contracting Authority by delivering them in person or sending them by post or electronically using a secure electronic signature (in ASIC, PDF or E-DOC format). The Contracting Authority shall set a time limit for submission of clarifications (explanations) of the Application of not less than 10 days after the request is posted or sent electronically.</w:t>
      </w:r>
    </w:p>
    <w:p w:rsidR="00BA2705" w:rsidRPr="00C86B07" w:rsidRDefault="00BA2705">
      <w:pPr>
        <w:tabs>
          <w:tab w:val="left" w:pos="360"/>
        </w:tabs>
        <w:jc w:val="both"/>
        <w:rPr>
          <w:lang w:val="en-GB"/>
        </w:rPr>
      </w:pPr>
    </w:p>
    <w:p w:rsidR="00BA2705" w:rsidRPr="00C86B07" w:rsidRDefault="00931873">
      <w:pPr>
        <w:tabs>
          <w:tab w:val="left" w:pos="360"/>
        </w:tabs>
        <w:jc w:val="both"/>
        <w:rPr>
          <w:i/>
          <w:lang w:val="en-GB"/>
        </w:rPr>
      </w:pPr>
      <w:r w:rsidRPr="00C86B07">
        <w:rPr>
          <w:i/>
          <w:lang w:val="en-GB"/>
        </w:rPr>
        <w:t>Note. Clarifications (explanations) of the Application shall be deemed to have been submitted to the Contracting Authority within the time limit specified in the request if the Contracting Authority has received them:</w:t>
      </w:r>
    </w:p>
    <w:p w:rsidR="00BA2705" w:rsidRPr="00C86B07" w:rsidRDefault="00931873">
      <w:pPr>
        <w:tabs>
          <w:tab w:val="left" w:pos="360"/>
        </w:tabs>
        <w:jc w:val="both"/>
        <w:rPr>
          <w:lang w:val="en-GB"/>
        </w:rPr>
      </w:pPr>
      <w:r w:rsidRPr="00C86B07">
        <w:rPr>
          <w:i/>
          <w:lang w:val="en-GB"/>
        </w:rPr>
        <w:t>- not later than on the last day of the time limit, if the clarifications (explanations) of the Application have been sent electronically using a secure electronic signature;</w:t>
      </w:r>
    </w:p>
    <w:p w:rsidR="00BA2705" w:rsidRPr="00C86B07" w:rsidRDefault="00931873">
      <w:pPr>
        <w:tabs>
          <w:tab w:val="left" w:pos="360"/>
        </w:tabs>
        <w:jc w:val="both"/>
        <w:rPr>
          <w:lang w:val="en-GB"/>
        </w:rPr>
      </w:pPr>
      <w:r w:rsidRPr="00C86B07">
        <w:rPr>
          <w:i/>
          <w:lang w:val="en-GB"/>
        </w:rPr>
        <w:t>- not later than during the working hours of the Contracting Authority on the last day of the time limit, if the clarifications (explanations) of the Application have been sent by post or delivered in person.</w:t>
      </w:r>
    </w:p>
    <w:p w:rsidR="00BA2705" w:rsidRPr="00C86B07" w:rsidRDefault="00BA2705">
      <w:pPr>
        <w:tabs>
          <w:tab w:val="left" w:pos="360"/>
        </w:tabs>
        <w:jc w:val="both"/>
        <w:rPr>
          <w:i/>
          <w:lang w:val="en-GB"/>
        </w:rPr>
      </w:pPr>
    </w:p>
    <w:p w:rsidR="00BA2705" w:rsidRPr="00C86B07" w:rsidRDefault="00931873">
      <w:pPr>
        <w:tabs>
          <w:tab w:val="left" w:pos="360"/>
        </w:tabs>
        <w:jc w:val="both"/>
        <w:rPr>
          <w:lang w:val="en-GB"/>
        </w:rPr>
      </w:pPr>
      <w:r w:rsidRPr="00C86B07">
        <w:rPr>
          <w:b/>
          <w:lang w:val="en-GB"/>
        </w:rPr>
        <w:t>23. Inspection of the Helicopters at the Site</w:t>
      </w:r>
    </w:p>
    <w:p w:rsidR="00BA2705" w:rsidRPr="00C86B07" w:rsidRDefault="00BA2705">
      <w:pPr>
        <w:tabs>
          <w:tab w:val="left" w:pos="360"/>
        </w:tabs>
        <w:jc w:val="both"/>
        <w:rPr>
          <w:b/>
          <w:lang w:val="en-GB"/>
        </w:rPr>
      </w:pPr>
    </w:p>
    <w:p w:rsidR="00BA2705" w:rsidRPr="00C86B07" w:rsidRDefault="00931873">
      <w:pPr>
        <w:jc w:val="both"/>
        <w:rPr>
          <w:lang w:val="en-GB"/>
        </w:rPr>
      </w:pPr>
      <w:r w:rsidRPr="00C86B07">
        <w:rPr>
          <w:lang w:val="en-GB"/>
        </w:rPr>
        <w:t>23.1.</w:t>
      </w:r>
      <w:r w:rsidRPr="00C86B07">
        <w:rPr>
          <w:lang w:val="en-GB"/>
        </w:rPr>
        <w:tab/>
        <w:t xml:space="preserve"> The site is accessible at the address “</w:t>
      </w:r>
      <w:proofErr w:type="spellStart"/>
      <w:r w:rsidRPr="00C86B07">
        <w:rPr>
          <w:lang w:val="en-GB"/>
        </w:rPr>
        <w:t>Jaunsmilgas</w:t>
      </w:r>
      <w:proofErr w:type="spellEnd"/>
      <w:r w:rsidRPr="00C86B07">
        <w:rPr>
          <w:lang w:val="en-GB"/>
        </w:rPr>
        <w:t xml:space="preserve">”, </w:t>
      </w:r>
      <w:proofErr w:type="spellStart"/>
      <w:r w:rsidRPr="00C86B07">
        <w:rPr>
          <w:lang w:val="en-GB"/>
        </w:rPr>
        <w:t>Runtorta</w:t>
      </w:r>
      <w:proofErr w:type="spellEnd"/>
      <w:r w:rsidRPr="00C86B07">
        <w:rPr>
          <w:lang w:val="en-GB"/>
        </w:rPr>
        <w:t xml:space="preserve">, </w:t>
      </w:r>
      <w:proofErr w:type="spellStart"/>
      <w:r w:rsidRPr="00C86B07">
        <w:rPr>
          <w:lang w:val="en-GB"/>
        </w:rPr>
        <w:t>Isnauda</w:t>
      </w:r>
      <w:proofErr w:type="spellEnd"/>
      <w:r w:rsidRPr="00C86B07">
        <w:rPr>
          <w:lang w:val="en-GB"/>
        </w:rPr>
        <w:t xml:space="preserve"> Parish, </w:t>
      </w:r>
      <w:proofErr w:type="spellStart"/>
      <w:r w:rsidRPr="00C86B07">
        <w:rPr>
          <w:lang w:val="en-GB"/>
        </w:rPr>
        <w:t>Ludza</w:t>
      </w:r>
      <w:proofErr w:type="spellEnd"/>
      <w:r w:rsidRPr="00C86B07">
        <w:rPr>
          <w:lang w:val="en-GB"/>
        </w:rPr>
        <w:t xml:space="preserve"> Municipality, Latvia (LV-5701).</w:t>
      </w:r>
      <w:r w:rsidRPr="00C86B07">
        <w:rPr>
          <w:lang w:val="en-GB"/>
        </w:rPr>
        <w:tab/>
      </w:r>
    </w:p>
    <w:p w:rsidR="00BA2705" w:rsidRPr="00C86B07" w:rsidRDefault="00BA2705">
      <w:pPr>
        <w:jc w:val="both"/>
        <w:rPr>
          <w:lang w:val="en-GB"/>
        </w:rPr>
      </w:pPr>
    </w:p>
    <w:p w:rsidR="00BA2705" w:rsidRPr="00C86B07" w:rsidRDefault="00931873">
      <w:pPr>
        <w:tabs>
          <w:tab w:val="left" w:pos="1134"/>
        </w:tabs>
        <w:jc w:val="both"/>
        <w:rPr>
          <w:bCs/>
          <w:lang w:val="en-GB"/>
        </w:rPr>
      </w:pPr>
      <w:r w:rsidRPr="00C86B07">
        <w:rPr>
          <w:lang w:val="en-GB"/>
        </w:rPr>
        <w:t xml:space="preserve">23.2. The Contracting Authority will organise an inspection of the helicopters (commercial designation: A109E POWER), registration mark YL-HMK (serial number: 11700) and registration mark YL-HML (serial number: 11704), on </w:t>
      </w:r>
      <w:r w:rsidR="006A55C0">
        <w:rPr>
          <w:lang w:val="en-GB"/>
        </w:rPr>
        <w:t>7</w:t>
      </w:r>
      <w:r w:rsidRPr="00C86B07">
        <w:rPr>
          <w:lang w:val="en-GB"/>
        </w:rPr>
        <w:t xml:space="preserve"> August 2026 at 13:00.</w:t>
      </w:r>
    </w:p>
    <w:p w:rsidR="00BA2705" w:rsidRPr="00C86B07" w:rsidRDefault="00BA2705">
      <w:pPr>
        <w:ind w:left="720" w:hanging="720"/>
        <w:jc w:val="both"/>
        <w:rPr>
          <w:bCs/>
          <w:lang w:val="en-GB"/>
        </w:rPr>
      </w:pPr>
    </w:p>
    <w:p w:rsidR="00BA2705" w:rsidRPr="00C86B07" w:rsidRDefault="00931873">
      <w:pPr>
        <w:jc w:val="both"/>
        <w:rPr>
          <w:lang w:val="en-GB"/>
        </w:rPr>
      </w:pPr>
      <w:r w:rsidRPr="00C86B07">
        <w:rPr>
          <w:lang w:val="en-GB"/>
        </w:rPr>
        <w:t>22.3. Interested Candidates shall register for the site inspection by 2</w:t>
      </w:r>
      <w:r w:rsidR="006A55C0">
        <w:rPr>
          <w:lang w:val="en-GB"/>
        </w:rPr>
        <w:t>4</w:t>
      </w:r>
      <w:bookmarkStart w:id="1" w:name="_GoBack"/>
      <w:bookmarkEnd w:id="1"/>
      <w:r w:rsidRPr="00C86B07">
        <w:rPr>
          <w:lang w:val="en-GB"/>
        </w:rPr>
        <w:t xml:space="preserve"> July 2026 by sending an application to the e-mail address </w:t>
      </w:r>
      <w:hyperlink r:id="rId9">
        <w:r w:rsidRPr="00C86B07">
          <w:rPr>
            <w:rStyle w:val="Hyperlink"/>
            <w:lang w:val="en-GB"/>
          </w:rPr>
          <w:t>ivans.ivanovs@rs.gov.lv</w:t>
        </w:r>
      </w:hyperlink>
      <w:r w:rsidRPr="00C86B07">
        <w:rPr>
          <w:lang w:val="en-GB"/>
        </w:rPr>
        <w:t xml:space="preserve"> or </w:t>
      </w:r>
      <w:hyperlink r:id="rId10">
        <w:r w:rsidRPr="00C86B07">
          <w:rPr>
            <w:rStyle w:val="Hyperlink"/>
            <w:lang w:val="en-GB"/>
          </w:rPr>
          <w:t>daina.misane@rs.gov.lv</w:t>
        </w:r>
      </w:hyperlink>
      <w:r w:rsidRPr="00C86B07">
        <w:rPr>
          <w:lang w:val="en-GB"/>
        </w:rPr>
        <w:t>, indicating in the application the name of the Candidate registered for the site inspection, the given name, surname and personal identity number of the registered person, and the make, model and State registration number of the vehicle. A personal identification document must be brought to the site inspection.</w:t>
      </w:r>
    </w:p>
    <w:p w:rsidR="00BA2705" w:rsidRPr="00C86B07" w:rsidRDefault="00BA2705">
      <w:pPr>
        <w:jc w:val="both"/>
        <w:rPr>
          <w:lang w:val="en-GB"/>
        </w:rPr>
      </w:pPr>
    </w:p>
    <w:p w:rsidR="00BA2705" w:rsidRPr="00C86B07" w:rsidRDefault="00931873">
      <w:pPr>
        <w:jc w:val="both"/>
        <w:rPr>
          <w:lang w:val="en-GB"/>
        </w:rPr>
      </w:pPr>
      <w:r w:rsidRPr="00C86B07">
        <w:rPr>
          <w:lang w:val="en-GB"/>
        </w:rPr>
        <w:t>22.4. Representatives of the Candidate who register for the site inspection will be checked against the security requirements arising from laws and regulations in the field of critical infrastructure security.</w:t>
      </w:r>
    </w:p>
    <w:p w:rsidR="00BA2705" w:rsidRPr="00C86B07" w:rsidRDefault="00BA2705">
      <w:pPr>
        <w:tabs>
          <w:tab w:val="left" w:pos="360"/>
        </w:tabs>
        <w:jc w:val="both"/>
        <w:rPr>
          <w:lang w:val="en-GB"/>
        </w:rPr>
      </w:pPr>
    </w:p>
    <w:sectPr w:rsidR="00BA2705" w:rsidRPr="00C86B07">
      <w:headerReference w:type="default" r:id="rId11"/>
      <w:headerReference w:type="first" r:id="rId12"/>
      <w:footnotePr>
        <w:numRestart w:val="eachSect"/>
      </w:footnotePr>
      <w:pgSz w:w="11906" w:h="16838"/>
      <w:pgMar w:top="1134" w:right="851" w:bottom="1134" w:left="1701" w:header="709"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785E" w:rsidRDefault="0095785E">
      <w:r>
        <w:separator/>
      </w:r>
    </w:p>
  </w:endnote>
  <w:endnote w:type="continuationSeparator" w:id="0">
    <w:p w:rsidR="0095785E" w:rsidRDefault="00957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785E" w:rsidRDefault="0095785E">
      <w:r>
        <w:separator/>
      </w:r>
    </w:p>
  </w:footnote>
  <w:footnote w:type="continuationSeparator" w:id="0">
    <w:p w:rsidR="0095785E" w:rsidRDefault="0095785E">
      <w:r>
        <w:continuationSeparator/>
      </w:r>
    </w:p>
  </w:footnote>
  <w:footnote w:id="1">
    <w:p w:rsidR="00BA2705" w:rsidRDefault="00931873">
      <w:pPr>
        <w:pStyle w:val="FootnoteText"/>
        <w:jc w:val="both"/>
      </w:pPr>
      <w:r>
        <w:rPr>
          <w:rStyle w:val="FootnoteCharacters"/>
        </w:rPr>
        <w:footnoteRef/>
      </w:r>
      <w:r>
        <w:t xml:space="preserve"> </w:t>
      </w:r>
      <w:proofErr w:type="spellStart"/>
      <w:r>
        <w:t>Directive</w:t>
      </w:r>
      <w:proofErr w:type="spellEnd"/>
      <w:r>
        <w:t xml:space="preserve"> (EU) 2022/2557 </w:t>
      </w:r>
      <w:proofErr w:type="spellStart"/>
      <w:r>
        <w:t>of</w:t>
      </w:r>
      <w:proofErr w:type="spellEnd"/>
      <w:r>
        <w:t xml:space="preserve"> </w:t>
      </w:r>
      <w:proofErr w:type="spellStart"/>
      <w:r>
        <w:t>the</w:t>
      </w:r>
      <w:proofErr w:type="spellEnd"/>
      <w:r>
        <w:t xml:space="preserve"> </w:t>
      </w:r>
      <w:proofErr w:type="spellStart"/>
      <w:r>
        <w:t>European</w:t>
      </w:r>
      <w:proofErr w:type="spellEnd"/>
      <w:r>
        <w:t xml:space="preserve"> </w:t>
      </w:r>
      <w:proofErr w:type="spellStart"/>
      <w:r>
        <w:t>Parliament</w:t>
      </w:r>
      <w:proofErr w:type="spellEnd"/>
      <w:r>
        <w:t xml:space="preserve"> </w:t>
      </w:r>
      <w:proofErr w:type="spellStart"/>
      <w:r>
        <w:t>and</w:t>
      </w:r>
      <w:proofErr w:type="spellEnd"/>
      <w:r>
        <w:t xml:space="preserve"> </w:t>
      </w:r>
      <w:proofErr w:type="spellStart"/>
      <w:r>
        <w:t>of</w:t>
      </w:r>
      <w:proofErr w:type="spellEnd"/>
      <w:r>
        <w:t xml:space="preserve"> </w:t>
      </w:r>
      <w:proofErr w:type="spellStart"/>
      <w:r>
        <w:t>the</w:t>
      </w:r>
      <w:proofErr w:type="spellEnd"/>
      <w:r>
        <w:t xml:space="preserve"> </w:t>
      </w:r>
      <w:proofErr w:type="spellStart"/>
      <w:r>
        <w:t>Council</w:t>
      </w:r>
      <w:proofErr w:type="spellEnd"/>
      <w:r>
        <w:t xml:space="preserve"> </w:t>
      </w:r>
      <w:proofErr w:type="spellStart"/>
      <w:r>
        <w:t>of</w:t>
      </w:r>
      <w:proofErr w:type="spellEnd"/>
      <w:r>
        <w:t xml:space="preserve"> 14 </w:t>
      </w:r>
      <w:proofErr w:type="spellStart"/>
      <w:r>
        <w:t>December</w:t>
      </w:r>
      <w:proofErr w:type="spellEnd"/>
      <w:r>
        <w:t xml:space="preserve"> 2022 </w:t>
      </w:r>
      <w:proofErr w:type="spellStart"/>
      <w:r>
        <w:t>on</w:t>
      </w:r>
      <w:proofErr w:type="spellEnd"/>
      <w:r>
        <w:t xml:space="preserve"> </w:t>
      </w:r>
      <w:proofErr w:type="spellStart"/>
      <w:r>
        <w:t>the</w:t>
      </w:r>
      <w:proofErr w:type="spellEnd"/>
      <w:r>
        <w:t xml:space="preserve"> </w:t>
      </w:r>
      <w:proofErr w:type="spellStart"/>
      <w:r>
        <w:t>resilience</w:t>
      </w:r>
      <w:proofErr w:type="spellEnd"/>
      <w:r>
        <w:t xml:space="preserve"> </w:t>
      </w:r>
      <w:proofErr w:type="spellStart"/>
      <w:r>
        <w:t>of</w:t>
      </w:r>
      <w:proofErr w:type="spellEnd"/>
      <w:r>
        <w:t xml:space="preserve"> </w:t>
      </w:r>
      <w:proofErr w:type="spellStart"/>
      <w:r>
        <w:t>critical</w:t>
      </w:r>
      <w:proofErr w:type="spellEnd"/>
      <w:r>
        <w:t xml:space="preserve"> </w:t>
      </w:r>
      <w:proofErr w:type="spellStart"/>
      <w:r>
        <w:t>entities</w:t>
      </w:r>
      <w:proofErr w:type="spellEnd"/>
      <w:r>
        <w:t xml:space="preserve"> </w:t>
      </w:r>
      <w:proofErr w:type="spellStart"/>
      <w:r>
        <w:t>and</w:t>
      </w:r>
      <w:proofErr w:type="spellEnd"/>
      <w:r>
        <w:t xml:space="preserve"> </w:t>
      </w:r>
      <w:proofErr w:type="spellStart"/>
      <w:r>
        <w:t>repealing</w:t>
      </w:r>
      <w:proofErr w:type="spellEnd"/>
      <w:r>
        <w:t xml:space="preserve"> </w:t>
      </w:r>
      <w:proofErr w:type="spellStart"/>
      <w:r>
        <w:t>Council</w:t>
      </w:r>
      <w:proofErr w:type="spellEnd"/>
      <w:r>
        <w:t xml:space="preserve"> </w:t>
      </w:r>
      <w:proofErr w:type="spellStart"/>
      <w:r>
        <w:t>Directive</w:t>
      </w:r>
      <w:proofErr w:type="spellEnd"/>
      <w:r>
        <w:t xml:space="preserve"> 2008/114/EC; </w:t>
      </w:r>
      <w:proofErr w:type="spellStart"/>
      <w:r>
        <w:t>Section</w:t>
      </w:r>
      <w:proofErr w:type="spellEnd"/>
      <w:r>
        <w:t xml:space="preserve"> 22² </w:t>
      </w:r>
      <w:proofErr w:type="spellStart"/>
      <w:r>
        <w:t>of</w:t>
      </w:r>
      <w:proofErr w:type="spellEnd"/>
      <w:r>
        <w:t xml:space="preserve"> </w:t>
      </w:r>
      <w:proofErr w:type="spellStart"/>
      <w:r>
        <w:t>the</w:t>
      </w:r>
      <w:proofErr w:type="spellEnd"/>
      <w:r>
        <w:t xml:space="preserve"> National </w:t>
      </w:r>
      <w:proofErr w:type="spellStart"/>
      <w:r>
        <w:t>Security</w:t>
      </w:r>
      <w:proofErr w:type="spellEnd"/>
      <w:r>
        <w:t xml:space="preserve"> </w:t>
      </w:r>
      <w:proofErr w:type="spellStart"/>
      <w:r>
        <w:t>Law</w:t>
      </w:r>
      <w:proofErr w:type="spellEnd"/>
      <w:r>
        <w:t xml:space="preserve">; </w:t>
      </w:r>
      <w:proofErr w:type="spellStart"/>
      <w:r>
        <w:t>Cabinet</w:t>
      </w:r>
      <w:proofErr w:type="spellEnd"/>
      <w:r>
        <w:t xml:space="preserve"> </w:t>
      </w:r>
      <w:proofErr w:type="spellStart"/>
      <w:r>
        <w:t>Regulation</w:t>
      </w:r>
      <w:proofErr w:type="spellEnd"/>
      <w:r>
        <w:t xml:space="preserve"> No. 10 </w:t>
      </w:r>
      <w:proofErr w:type="spellStart"/>
      <w:r>
        <w:t>of</w:t>
      </w:r>
      <w:proofErr w:type="spellEnd"/>
      <w:r>
        <w:t xml:space="preserve"> 13 </w:t>
      </w:r>
      <w:proofErr w:type="spellStart"/>
      <w:r>
        <w:t>January</w:t>
      </w:r>
      <w:proofErr w:type="spellEnd"/>
      <w:r>
        <w:t xml:space="preserve"> 2026 “</w:t>
      </w:r>
      <w:proofErr w:type="spellStart"/>
      <w:r>
        <w:t>Procedures</w:t>
      </w:r>
      <w:proofErr w:type="spellEnd"/>
      <w:r>
        <w:t xml:space="preserve"> </w:t>
      </w:r>
      <w:proofErr w:type="spellStart"/>
      <w:r>
        <w:t>for</w:t>
      </w:r>
      <w:proofErr w:type="spellEnd"/>
      <w:r>
        <w:t xml:space="preserve"> </w:t>
      </w:r>
      <w:proofErr w:type="spellStart"/>
      <w:r>
        <w:t>Identifying</w:t>
      </w:r>
      <w:proofErr w:type="spellEnd"/>
      <w:r>
        <w:t xml:space="preserve"> </w:t>
      </w:r>
      <w:proofErr w:type="spellStart"/>
      <w:r>
        <w:t>Critical</w:t>
      </w:r>
      <w:proofErr w:type="spellEnd"/>
      <w:r>
        <w:t xml:space="preserve"> </w:t>
      </w:r>
      <w:proofErr w:type="spellStart"/>
      <w:r>
        <w:t>Infrastructure</w:t>
      </w:r>
      <w:proofErr w:type="spellEnd"/>
      <w:r>
        <w:t xml:space="preserve">, </w:t>
      </w:r>
      <w:proofErr w:type="spellStart"/>
      <w:r>
        <w:t>Planning</w:t>
      </w:r>
      <w:proofErr w:type="spellEnd"/>
      <w:r>
        <w:t xml:space="preserve"> </w:t>
      </w:r>
      <w:proofErr w:type="spellStart"/>
      <w:r>
        <w:t>and</w:t>
      </w:r>
      <w:proofErr w:type="spellEnd"/>
      <w:r>
        <w:t xml:space="preserve"> </w:t>
      </w:r>
      <w:proofErr w:type="spellStart"/>
      <w:r>
        <w:t>Implementing</w:t>
      </w:r>
      <w:proofErr w:type="spellEnd"/>
      <w:r>
        <w:t xml:space="preserve"> </w:t>
      </w:r>
      <w:proofErr w:type="spellStart"/>
      <w:r>
        <w:t>Business</w:t>
      </w:r>
      <w:proofErr w:type="spellEnd"/>
      <w:r>
        <w:t xml:space="preserve"> </w:t>
      </w:r>
      <w:proofErr w:type="spellStart"/>
      <w:r>
        <w:t>Continuity</w:t>
      </w:r>
      <w:proofErr w:type="spellEnd"/>
      <w:r>
        <w:t xml:space="preserve">, </w:t>
      </w:r>
      <w:proofErr w:type="spellStart"/>
      <w:r>
        <w:t>Security</w:t>
      </w:r>
      <w:proofErr w:type="spellEnd"/>
      <w:r>
        <w:t xml:space="preserve"> </w:t>
      </w:r>
      <w:proofErr w:type="spellStart"/>
      <w:r>
        <w:t>and</w:t>
      </w:r>
      <w:proofErr w:type="spellEnd"/>
      <w:r>
        <w:t xml:space="preserve"> </w:t>
      </w:r>
      <w:proofErr w:type="spellStart"/>
      <w:r>
        <w:t>Resilience</w:t>
      </w:r>
      <w:proofErr w:type="spellEnd"/>
      <w:r>
        <w:t xml:space="preserve"> </w:t>
      </w:r>
      <w:proofErr w:type="spellStart"/>
      <w:r>
        <w:t>Measures</w:t>
      </w:r>
      <w:proofErr w:type="spellEnd"/>
      <w:r>
        <w:t xml:space="preserve">, </w:t>
      </w:r>
      <w:proofErr w:type="spellStart"/>
      <w:r>
        <w:t>and</w:t>
      </w:r>
      <w:proofErr w:type="spellEnd"/>
      <w:r>
        <w:t xml:space="preserve"> </w:t>
      </w:r>
      <w:proofErr w:type="spellStart"/>
      <w:r>
        <w:t>Reporting</w:t>
      </w:r>
      <w:proofErr w:type="spellEnd"/>
      <w:r>
        <w:t xml:space="preserve"> Incidents”.</w:t>
      </w:r>
    </w:p>
  </w:footnote>
  <w:footnote w:id="2">
    <w:p w:rsidR="00BA2705" w:rsidRDefault="00931873">
      <w:pPr>
        <w:pStyle w:val="FootnoteText"/>
      </w:pPr>
      <w:r>
        <w:rPr>
          <w:rStyle w:val="FootnoteCharacters"/>
        </w:rPr>
        <w:footnoteRef/>
      </w:r>
      <w:r>
        <w:t xml:space="preserve"> </w:t>
      </w:r>
      <w:proofErr w:type="spellStart"/>
      <w:r>
        <w:t>Candidates</w:t>
      </w:r>
      <w:proofErr w:type="spellEnd"/>
      <w:r>
        <w:t xml:space="preserve"> </w:t>
      </w:r>
      <w:proofErr w:type="spellStart"/>
      <w:r>
        <w:t>who</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the</w:t>
      </w:r>
      <w:proofErr w:type="spellEnd"/>
      <w:r>
        <w:t xml:space="preserve"> </w:t>
      </w:r>
      <w:proofErr w:type="spellStart"/>
      <w:r>
        <w:t>selection</w:t>
      </w:r>
      <w:proofErr w:type="spellEnd"/>
      <w:r>
        <w:t xml:space="preserve"> </w:t>
      </w:r>
      <w:proofErr w:type="spellStart"/>
      <w:r>
        <w:t>requirements</w:t>
      </w:r>
      <w:proofErr w:type="spellEnd"/>
      <w:r>
        <w:t xml:space="preserve"> </w:t>
      </w:r>
      <w:proofErr w:type="spellStart"/>
      <w:r>
        <w:t>of</w:t>
      </w:r>
      <w:proofErr w:type="spellEnd"/>
      <w:r>
        <w:t xml:space="preserve"> </w:t>
      </w:r>
      <w:proofErr w:type="spellStart"/>
      <w:r>
        <w:t>the</w:t>
      </w:r>
      <w:proofErr w:type="spellEnd"/>
      <w:r>
        <w:t xml:space="preserve"> </w:t>
      </w:r>
      <w:proofErr w:type="spellStart"/>
      <w:r>
        <w:t>Regulations</w:t>
      </w:r>
      <w:proofErr w:type="spellEnd"/>
      <w:r>
        <w:t xml:space="preserve">, </w:t>
      </w:r>
      <w:proofErr w:type="spellStart"/>
      <w:r>
        <w:t>have</w:t>
      </w:r>
      <w:proofErr w:type="spellEnd"/>
      <w:r>
        <w:t xml:space="preserve"> </w:t>
      </w:r>
      <w:proofErr w:type="spellStart"/>
      <w:r>
        <w:t>not</w:t>
      </w:r>
      <w:proofErr w:type="spellEnd"/>
      <w:r>
        <w:t xml:space="preserve"> </w:t>
      </w:r>
      <w:proofErr w:type="spellStart"/>
      <w:r>
        <w:t>been</w:t>
      </w:r>
      <w:proofErr w:type="spellEnd"/>
      <w:r>
        <w:t xml:space="preserve"> </w:t>
      </w:r>
      <w:proofErr w:type="spellStart"/>
      <w:r>
        <w:t>excluded</w:t>
      </w:r>
      <w:proofErr w:type="spellEnd"/>
      <w:r>
        <w:t xml:space="preserve"> </w:t>
      </w:r>
      <w:proofErr w:type="spellStart"/>
      <w:r>
        <w:t>from</w:t>
      </w:r>
      <w:proofErr w:type="spellEnd"/>
      <w:r>
        <w:t xml:space="preserve"> </w:t>
      </w:r>
      <w:proofErr w:type="spellStart"/>
      <w:r>
        <w:t>further</w:t>
      </w:r>
      <w:proofErr w:type="spellEnd"/>
      <w:r>
        <w:t xml:space="preserve"> </w:t>
      </w:r>
      <w:proofErr w:type="spellStart"/>
      <w:r>
        <w:t>participation</w:t>
      </w:r>
      <w:proofErr w:type="spellEnd"/>
      <w:r>
        <w:t xml:space="preserve"> </w:t>
      </w:r>
      <w:proofErr w:type="spellStart"/>
      <w:r>
        <w:t>in</w:t>
      </w:r>
      <w:proofErr w:type="spellEnd"/>
      <w:r>
        <w:t xml:space="preserve"> </w:t>
      </w:r>
      <w:proofErr w:type="spellStart"/>
      <w:r>
        <w:t>the</w:t>
      </w:r>
      <w:proofErr w:type="spellEnd"/>
      <w:r>
        <w:t xml:space="preserve"> </w:t>
      </w:r>
      <w:proofErr w:type="spellStart"/>
      <w:r>
        <w:t>Procurement</w:t>
      </w:r>
      <w:proofErr w:type="spellEnd"/>
      <w:r>
        <w:t>.</w:t>
      </w:r>
    </w:p>
  </w:footnote>
  <w:footnote w:id="3">
    <w:p w:rsidR="00BA2705" w:rsidRDefault="00931873">
      <w:pPr>
        <w:pStyle w:val="FootnoteText"/>
        <w:jc w:val="both"/>
      </w:pPr>
      <w:r>
        <w:rPr>
          <w:rStyle w:val="FootnoteCharacters"/>
        </w:rPr>
        <w:footnoteRef/>
      </w:r>
      <w:r>
        <w:t xml:space="preserve"> </w:t>
      </w:r>
      <w:proofErr w:type="spellStart"/>
      <w:r>
        <w:t>Cabinet</w:t>
      </w:r>
      <w:proofErr w:type="spellEnd"/>
      <w:r>
        <w:t xml:space="preserve"> </w:t>
      </w:r>
      <w:proofErr w:type="spellStart"/>
      <w:r>
        <w:t>Regulation</w:t>
      </w:r>
      <w:proofErr w:type="spellEnd"/>
      <w:r>
        <w:t xml:space="preserve"> No. 107 </w:t>
      </w:r>
      <w:proofErr w:type="spellStart"/>
      <w:r>
        <w:t>of</w:t>
      </w:r>
      <w:proofErr w:type="spellEnd"/>
      <w:r>
        <w:t xml:space="preserve"> 28 </w:t>
      </w:r>
      <w:proofErr w:type="spellStart"/>
      <w:r>
        <w:t>February</w:t>
      </w:r>
      <w:proofErr w:type="spellEnd"/>
      <w:r>
        <w:t xml:space="preserve"> 2017 “</w:t>
      </w:r>
      <w:proofErr w:type="spellStart"/>
      <w:r>
        <w:t>Procedures</w:t>
      </w:r>
      <w:proofErr w:type="spellEnd"/>
      <w:r>
        <w:t xml:space="preserve"> </w:t>
      </w:r>
      <w:proofErr w:type="spellStart"/>
      <w:r>
        <w:t>for</w:t>
      </w:r>
      <w:proofErr w:type="spellEnd"/>
      <w:r>
        <w:t xml:space="preserve"> </w:t>
      </w:r>
      <w:proofErr w:type="spellStart"/>
      <w:r>
        <w:t>Conducting</w:t>
      </w:r>
      <w:proofErr w:type="spellEnd"/>
      <w:r>
        <w:t xml:space="preserve"> </w:t>
      </w:r>
      <w:proofErr w:type="spellStart"/>
      <w:r>
        <w:t>Procurement</w:t>
      </w:r>
      <w:proofErr w:type="spellEnd"/>
      <w:r>
        <w:t xml:space="preserve"> </w:t>
      </w:r>
      <w:proofErr w:type="spellStart"/>
      <w:r>
        <w:t>Procedures</w:t>
      </w:r>
      <w:proofErr w:type="spellEnd"/>
      <w:r>
        <w:t xml:space="preserve"> </w:t>
      </w:r>
      <w:proofErr w:type="spellStart"/>
      <w:r>
        <w:t>and</w:t>
      </w:r>
      <w:proofErr w:type="spellEnd"/>
      <w:r>
        <w:t xml:space="preserve"> </w:t>
      </w:r>
      <w:proofErr w:type="spellStart"/>
      <w:r>
        <w:t>Design</w:t>
      </w:r>
      <w:proofErr w:type="spellEnd"/>
      <w:r>
        <w:t xml:space="preserve"> </w:t>
      </w:r>
      <w:proofErr w:type="spellStart"/>
      <w:r>
        <w:t>Contests</w:t>
      </w:r>
      <w:proofErr w:type="spellEnd"/>
      <w:r>
        <w:t>”.</w:t>
      </w:r>
    </w:p>
  </w:footnote>
  <w:footnote w:id="4">
    <w:p w:rsidR="00BA2705" w:rsidRDefault="00931873">
      <w:pPr>
        <w:pStyle w:val="FootnoteText"/>
        <w:jc w:val="both"/>
      </w:pPr>
      <w:r>
        <w:rPr>
          <w:rStyle w:val="FootnoteCharacters"/>
        </w:rPr>
        <w:footnoteRef/>
      </w:r>
      <w:r>
        <w:t xml:space="preserve"> </w:t>
      </w:r>
      <w:proofErr w:type="spellStart"/>
      <w:r>
        <w:t>The</w:t>
      </w:r>
      <w:proofErr w:type="spellEnd"/>
      <w:r>
        <w:t xml:space="preserve"> </w:t>
      </w:r>
      <w:proofErr w:type="spellStart"/>
      <w:r>
        <w:t>Application</w:t>
      </w:r>
      <w:proofErr w:type="spellEnd"/>
      <w:r>
        <w:t xml:space="preserve"> </w:t>
      </w:r>
      <w:proofErr w:type="spellStart"/>
      <w:r>
        <w:t>for</w:t>
      </w:r>
      <w:proofErr w:type="spellEnd"/>
      <w:r>
        <w:t xml:space="preserve"> </w:t>
      </w:r>
      <w:proofErr w:type="spellStart"/>
      <w:r>
        <w:t>participation</w:t>
      </w:r>
      <w:proofErr w:type="spellEnd"/>
      <w:r>
        <w:t xml:space="preserve"> </w:t>
      </w:r>
      <w:proofErr w:type="spellStart"/>
      <w:r>
        <w:t>in</w:t>
      </w:r>
      <w:proofErr w:type="spellEnd"/>
      <w:r>
        <w:t xml:space="preserve"> </w:t>
      </w:r>
      <w:proofErr w:type="spellStart"/>
      <w:r>
        <w:t>the</w:t>
      </w:r>
      <w:proofErr w:type="spellEnd"/>
      <w:r>
        <w:t xml:space="preserve"> </w:t>
      </w:r>
      <w:proofErr w:type="spellStart"/>
      <w:r>
        <w:t>Procurement</w:t>
      </w:r>
      <w:proofErr w:type="spellEnd"/>
      <w:r>
        <w:t xml:space="preserve">, </w:t>
      </w:r>
      <w:proofErr w:type="spellStart"/>
      <w:r>
        <w:t>prepared</w:t>
      </w:r>
      <w:proofErr w:type="spellEnd"/>
      <w:r>
        <w:t xml:space="preserve"> </w:t>
      </w:r>
      <w:proofErr w:type="spellStart"/>
      <w:r>
        <w:t>by</w:t>
      </w:r>
      <w:proofErr w:type="spellEnd"/>
      <w:r>
        <w:t xml:space="preserve"> </w:t>
      </w:r>
      <w:proofErr w:type="spellStart"/>
      <w:r>
        <w:t>the</w:t>
      </w:r>
      <w:proofErr w:type="spellEnd"/>
      <w:r>
        <w:t xml:space="preserve"> </w:t>
      </w:r>
      <w:proofErr w:type="spellStart"/>
      <w:r>
        <w:t>Candidate</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the</w:t>
      </w:r>
      <w:proofErr w:type="spellEnd"/>
      <w:r>
        <w:t xml:space="preserve"> </w:t>
      </w:r>
      <w:proofErr w:type="spellStart"/>
      <w:r>
        <w:t>form</w:t>
      </w:r>
      <w:proofErr w:type="spellEnd"/>
      <w:r>
        <w:t xml:space="preserve"> set </w:t>
      </w:r>
      <w:proofErr w:type="spellStart"/>
      <w:r>
        <w:t>out</w:t>
      </w:r>
      <w:proofErr w:type="spellEnd"/>
      <w:r>
        <w:t xml:space="preserve"> </w:t>
      </w:r>
      <w:proofErr w:type="spellStart"/>
      <w:r>
        <w:t>in</w:t>
      </w:r>
      <w:proofErr w:type="spellEnd"/>
      <w:r>
        <w:t xml:space="preserve"> </w:t>
      </w:r>
      <w:proofErr w:type="spellStart"/>
      <w:r>
        <w:t>Annex</w:t>
      </w:r>
      <w:proofErr w:type="spellEnd"/>
      <w:r>
        <w:t xml:space="preserve"> 3 to </w:t>
      </w:r>
      <w:proofErr w:type="spellStart"/>
      <w:r>
        <w:t>the</w:t>
      </w:r>
      <w:proofErr w:type="spellEnd"/>
      <w:r>
        <w:t xml:space="preserve"> </w:t>
      </w:r>
      <w:proofErr w:type="spellStart"/>
      <w:r>
        <w:t>Regulations</w:t>
      </w:r>
      <w:proofErr w:type="spellEnd"/>
      <w:r>
        <w:t>.</w:t>
      </w:r>
    </w:p>
  </w:footnote>
  <w:footnote w:id="5">
    <w:p w:rsidR="00BA2705" w:rsidRDefault="00931873">
      <w:pPr>
        <w:pStyle w:val="FootnoteText"/>
        <w:jc w:val="both"/>
      </w:pPr>
      <w:r>
        <w:rPr>
          <w:rStyle w:val="FootnoteCharacters"/>
        </w:rPr>
        <w:footnoteRef/>
      </w:r>
      <w:r>
        <w:t xml:space="preserve"> </w:t>
      </w:r>
      <w:proofErr w:type="spellStart"/>
      <w:r>
        <w:t>If</w:t>
      </w:r>
      <w:proofErr w:type="spellEnd"/>
      <w:r>
        <w:t xml:space="preserve"> </w:t>
      </w:r>
      <w:proofErr w:type="spellStart"/>
      <w:r>
        <w:t>the</w:t>
      </w:r>
      <w:proofErr w:type="spellEnd"/>
      <w:r>
        <w:t xml:space="preserve"> </w:t>
      </w:r>
      <w:proofErr w:type="spellStart"/>
      <w:r>
        <w:t>laws</w:t>
      </w:r>
      <w:proofErr w:type="spellEnd"/>
      <w:r>
        <w:t xml:space="preserve"> </w:t>
      </w:r>
      <w:proofErr w:type="spellStart"/>
      <w:r>
        <w:t>and</w:t>
      </w:r>
      <w:proofErr w:type="spellEnd"/>
      <w:r>
        <w:t xml:space="preserve"> </w:t>
      </w:r>
      <w:proofErr w:type="spellStart"/>
      <w:r>
        <w:t>regulations</w:t>
      </w:r>
      <w:proofErr w:type="spellEnd"/>
      <w:r>
        <w:t xml:space="preserve"> </w:t>
      </w:r>
      <w:proofErr w:type="spellStart"/>
      <w:r>
        <w:t>of</w:t>
      </w:r>
      <w:proofErr w:type="spellEnd"/>
      <w:r>
        <w:t xml:space="preserve"> </w:t>
      </w:r>
      <w:proofErr w:type="spellStart"/>
      <w:r>
        <w:t>the</w:t>
      </w:r>
      <w:proofErr w:type="spellEnd"/>
      <w:r>
        <w:t xml:space="preserve"> </w:t>
      </w:r>
      <w:proofErr w:type="spellStart"/>
      <w:r>
        <w:t>country</w:t>
      </w:r>
      <w:proofErr w:type="spellEnd"/>
      <w:r>
        <w:t xml:space="preserve"> </w:t>
      </w:r>
      <w:proofErr w:type="spellStart"/>
      <w:r>
        <w:t>of</w:t>
      </w:r>
      <w:proofErr w:type="spellEnd"/>
      <w:r>
        <w:t xml:space="preserve"> </w:t>
      </w:r>
      <w:proofErr w:type="spellStart"/>
      <w:r>
        <w:t>registration</w:t>
      </w:r>
      <w:proofErr w:type="spellEnd"/>
      <w:r>
        <w:t xml:space="preserve"> do </w:t>
      </w:r>
      <w:proofErr w:type="spellStart"/>
      <w:r>
        <w:t>not</w:t>
      </w:r>
      <w:proofErr w:type="spellEnd"/>
      <w:r>
        <w:t xml:space="preserve"> </w:t>
      </w:r>
      <w:proofErr w:type="spellStart"/>
      <w:r>
        <w:t>provide</w:t>
      </w:r>
      <w:proofErr w:type="spellEnd"/>
      <w:r>
        <w:t xml:space="preserve"> </w:t>
      </w:r>
      <w:proofErr w:type="spellStart"/>
      <w:r>
        <w:t>for</w:t>
      </w:r>
      <w:proofErr w:type="spellEnd"/>
      <w:r>
        <w:t xml:space="preserve"> </w:t>
      </w:r>
      <w:proofErr w:type="spellStart"/>
      <w:r>
        <w:t>the</w:t>
      </w:r>
      <w:proofErr w:type="spellEnd"/>
      <w:r>
        <w:t xml:space="preserve"> </w:t>
      </w:r>
      <w:proofErr w:type="spellStart"/>
      <w:r>
        <w:t>issuance</w:t>
      </w:r>
      <w:proofErr w:type="spellEnd"/>
      <w:r>
        <w:t xml:space="preserve"> </w:t>
      </w:r>
      <w:proofErr w:type="spellStart"/>
      <w:r>
        <w:t>of</w:t>
      </w:r>
      <w:proofErr w:type="spellEnd"/>
      <w:r>
        <w:t xml:space="preserve"> a </w:t>
      </w:r>
      <w:proofErr w:type="spellStart"/>
      <w:r>
        <w:t>registration</w:t>
      </w:r>
      <w:proofErr w:type="spellEnd"/>
      <w:r>
        <w:t xml:space="preserve"> </w:t>
      </w:r>
      <w:proofErr w:type="spellStart"/>
      <w:r>
        <w:t>certificate</w:t>
      </w:r>
      <w:proofErr w:type="spellEnd"/>
      <w:r>
        <w:t xml:space="preserve">, </w:t>
      </w:r>
      <w:proofErr w:type="spellStart"/>
      <w:r>
        <w:t>the</w:t>
      </w:r>
      <w:proofErr w:type="spellEnd"/>
      <w:r>
        <w:t xml:space="preserve"> </w:t>
      </w:r>
      <w:proofErr w:type="spellStart"/>
      <w:r>
        <w:t>Candidate</w:t>
      </w:r>
      <w:proofErr w:type="spellEnd"/>
      <w:r>
        <w:t xml:space="preserve"> </w:t>
      </w:r>
      <w:proofErr w:type="spellStart"/>
      <w:r>
        <w:t>shall</w:t>
      </w:r>
      <w:proofErr w:type="spellEnd"/>
      <w:r>
        <w:t xml:space="preserve"> </w:t>
      </w:r>
      <w:proofErr w:type="spellStart"/>
      <w:r>
        <w:t>submit</w:t>
      </w:r>
      <w:proofErr w:type="spellEnd"/>
      <w:r>
        <w:t xml:space="preserve"> </w:t>
      </w:r>
      <w:proofErr w:type="spellStart"/>
      <w:r>
        <w:t>information</w:t>
      </w:r>
      <w:proofErr w:type="spellEnd"/>
      <w:r>
        <w:t xml:space="preserve"> </w:t>
      </w:r>
      <w:proofErr w:type="spellStart"/>
      <w:r>
        <w:t>regarding</w:t>
      </w:r>
      <w:proofErr w:type="spellEnd"/>
      <w:r>
        <w:t xml:space="preserve"> </w:t>
      </w:r>
      <w:proofErr w:type="spellStart"/>
      <w:r>
        <w:t>the</w:t>
      </w:r>
      <w:proofErr w:type="spellEnd"/>
      <w:r>
        <w:t xml:space="preserve"> </w:t>
      </w:r>
      <w:proofErr w:type="spellStart"/>
      <w:r>
        <w:t>Candidate’s</w:t>
      </w:r>
      <w:proofErr w:type="spellEnd"/>
      <w:r>
        <w:t xml:space="preserve"> </w:t>
      </w:r>
      <w:proofErr w:type="spellStart"/>
      <w:r>
        <w:t>registered</w:t>
      </w:r>
      <w:proofErr w:type="spellEnd"/>
      <w:r>
        <w:t xml:space="preserve"> </w:t>
      </w:r>
      <w:proofErr w:type="spellStart"/>
      <w:r>
        <w:t>name</w:t>
      </w:r>
      <w:proofErr w:type="spellEnd"/>
      <w:r>
        <w:t xml:space="preserve">, </w:t>
      </w:r>
      <w:proofErr w:type="spellStart"/>
      <w:r>
        <w:t>number</w:t>
      </w:r>
      <w:proofErr w:type="spellEnd"/>
      <w:r>
        <w:t xml:space="preserve"> </w:t>
      </w:r>
      <w:proofErr w:type="spellStart"/>
      <w:r>
        <w:t>and</w:t>
      </w:r>
      <w:proofErr w:type="spellEnd"/>
      <w:r>
        <w:t xml:space="preserve"> </w:t>
      </w:r>
      <w:proofErr w:type="spellStart"/>
      <w:r>
        <w:t>date</w:t>
      </w:r>
      <w:proofErr w:type="spellEnd"/>
      <w:r>
        <w:t xml:space="preserve"> </w:t>
      </w:r>
      <w:proofErr w:type="spellStart"/>
      <w:r>
        <w:t>of</w:t>
      </w:r>
      <w:proofErr w:type="spellEnd"/>
      <w:r>
        <w:t xml:space="preserve"> </w:t>
      </w:r>
      <w:proofErr w:type="spellStart"/>
      <w:r>
        <w:t>registration</w:t>
      </w:r>
      <w:proofErr w:type="spellEnd"/>
      <w:r>
        <w:t xml:space="preserve">, </w:t>
      </w:r>
      <w:proofErr w:type="spellStart"/>
      <w:r>
        <w:t>the</w:t>
      </w:r>
      <w:proofErr w:type="spellEnd"/>
      <w:r>
        <w:t xml:space="preserve"> </w:t>
      </w:r>
      <w:proofErr w:type="spellStart"/>
      <w:r>
        <w:t>competent</w:t>
      </w:r>
      <w:proofErr w:type="spellEnd"/>
      <w:r>
        <w:t xml:space="preserve"> </w:t>
      </w:r>
      <w:proofErr w:type="spellStart"/>
      <w:r>
        <w:t>authority</w:t>
      </w:r>
      <w:proofErr w:type="spellEnd"/>
      <w:r>
        <w:t xml:space="preserve"> </w:t>
      </w:r>
      <w:proofErr w:type="spellStart"/>
      <w:r>
        <w:t>in</w:t>
      </w:r>
      <w:proofErr w:type="spellEnd"/>
      <w:r>
        <w:t xml:space="preserve"> </w:t>
      </w:r>
      <w:proofErr w:type="spellStart"/>
      <w:r>
        <w:t>the</w:t>
      </w:r>
      <w:proofErr w:type="spellEnd"/>
      <w:r>
        <w:t xml:space="preserve"> </w:t>
      </w:r>
      <w:proofErr w:type="spellStart"/>
      <w:r>
        <w:t>country</w:t>
      </w:r>
      <w:proofErr w:type="spellEnd"/>
      <w:r>
        <w:t xml:space="preserve"> </w:t>
      </w:r>
      <w:proofErr w:type="spellStart"/>
      <w:r>
        <w:t>of</w:t>
      </w:r>
      <w:proofErr w:type="spellEnd"/>
      <w:r>
        <w:t xml:space="preserve"> </w:t>
      </w:r>
      <w:proofErr w:type="spellStart"/>
      <w:r>
        <w:t>registration</w:t>
      </w:r>
      <w:proofErr w:type="spellEnd"/>
      <w:r>
        <w:t xml:space="preserve"> </w:t>
      </w:r>
      <w:proofErr w:type="spellStart"/>
      <w:r>
        <w:t>which</w:t>
      </w:r>
      <w:proofErr w:type="spellEnd"/>
      <w:r>
        <w:t xml:space="preserve">, </w:t>
      </w:r>
      <w:proofErr w:type="spellStart"/>
      <w:r>
        <w:t>where</w:t>
      </w:r>
      <w:proofErr w:type="spellEnd"/>
      <w:r>
        <w:t xml:space="preserve"> </w:t>
      </w:r>
      <w:proofErr w:type="spellStart"/>
      <w:r>
        <w:t>necessary</w:t>
      </w:r>
      <w:proofErr w:type="spellEnd"/>
      <w:r>
        <w:t xml:space="preserve">, </w:t>
      </w:r>
      <w:proofErr w:type="spellStart"/>
      <w:r>
        <w:t>can</w:t>
      </w:r>
      <w:proofErr w:type="spellEnd"/>
      <w:r>
        <w:t xml:space="preserve"> </w:t>
      </w:r>
      <w:proofErr w:type="spellStart"/>
      <w:r>
        <w:t>certify</w:t>
      </w:r>
      <w:proofErr w:type="spellEnd"/>
      <w:r>
        <w:t xml:space="preserve"> </w:t>
      </w:r>
      <w:proofErr w:type="spellStart"/>
      <w:r>
        <w:t>the</w:t>
      </w:r>
      <w:proofErr w:type="spellEnd"/>
      <w:r>
        <w:t xml:space="preserve"> </w:t>
      </w:r>
      <w:proofErr w:type="spellStart"/>
      <w:r>
        <w:t>fact</w:t>
      </w:r>
      <w:proofErr w:type="spellEnd"/>
      <w:r>
        <w:t xml:space="preserve"> </w:t>
      </w:r>
      <w:proofErr w:type="spellStart"/>
      <w:r>
        <w:t>of</w:t>
      </w:r>
      <w:proofErr w:type="spellEnd"/>
      <w:r>
        <w:t xml:space="preserve"> </w:t>
      </w:r>
      <w:proofErr w:type="spellStart"/>
      <w:r>
        <w:t>registration</w:t>
      </w:r>
      <w:proofErr w:type="spellEnd"/>
      <w:r>
        <w:t xml:space="preserve">, </w:t>
      </w:r>
      <w:proofErr w:type="spellStart"/>
      <w:r>
        <w:t>as</w:t>
      </w:r>
      <w:proofErr w:type="spellEnd"/>
      <w:r>
        <w:t xml:space="preserve"> </w:t>
      </w:r>
      <w:proofErr w:type="spellStart"/>
      <w:r>
        <w:t>well</w:t>
      </w:r>
      <w:proofErr w:type="spellEnd"/>
      <w:r>
        <w:t xml:space="preserve"> </w:t>
      </w:r>
      <w:proofErr w:type="spellStart"/>
      <w:r>
        <w:t>as</w:t>
      </w:r>
      <w:proofErr w:type="spellEnd"/>
      <w:r>
        <w:t xml:space="preserve"> </w:t>
      </w:r>
      <w:proofErr w:type="spellStart"/>
      <w:r>
        <w:t>other</w:t>
      </w:r>
      <w:proofErr w:type="spellEnd"/>
      <w:r>
        <w:t xml:space="preserve"> </w:t>
      </w:r>
      <w:proofErr w:type="spellStart"/>
      <w:r>
        <w:t>necessary</w:t>
      </w:r>
      <w:proofErr w:type="spellEnd"/>
      <w:r>
        <w:t xml:space="preserve"> </w:t>
      </w:r>
      <w:proofErr w:type="spellStart"/>
      <w:r>
        <w:t>information</w:t>
      </w:r>
      <w:proofErr w:type="spellEnd"/>
      <w:r>
        <w:t xml:space="preserve"> (</w:t>
      </w:r>
      <w:proofErr w:type="spellStart"/>
      <w:r>
        <w:t>for</w:t>
      </w:r>
      <w:proofErr w:type="spellEnd"/>
      <w:r>
        <w:t xml:space="preserve"> </w:t>
      </w:r>
      <w:proofErr w:type="spellStart"/>
      <w:r>
        <w:t>example</w:t>
      </w:r>
      <w:proofErr w:type="spellEnd"/>
      <w:r>
        <w:t xml:space="preserve">, a </w:t>
      </w:r>
      <w:proofErr w:type="spellStart"/>
      <w:r>
        <w:t>website</w:t>
      </w:r>
      <w:proofErr w:type="spellEnd"/>
      <w:r>
        <w:t xml:space="preserve"> </w:t>
      </w:r>
      <w:proofErr w:type="spellStart"/>
      <w:r>
        <w:t>where</w:t>
      </w:r>
      <w:proofErr w:type="spellEnd"/>
      <w:r>
        <w:t xml:space="preserve"> </w:t>
      </w:r>
      <w:proofErr w:type="spellStart"/>
      <w:r>
        <w:t>the</w:t>
      </w:r>
      <w:proofErr w:type="spellEnd"/>
      <w:r>
        <w:t xml:space="preserve"> </w:t>
      </w:r>
      <w:proofErr w:type="spellStart"/>
      <w:r>
        <w:t>fact</w:t>
      </w:r>
      <w:proofErr w:type="spellEnd"/>
      <w:r>
        <w:t xml:space="preserve"> </w:t>
      </w:r>
      <w:proofErr w:type="spellStart"/>
      <w:r>
        <w:t>of</w:t>
      </w:r>
      <w:proofErr w:type="spellEnd"/>
      <w:r>
        <w:t xml:space="preserve"> </w:t>
      </w:r>
      <w:proofErr w:type="spellStart"/>
      <w:r>
        <w:t>the</w:t>
      </w:r>
      <w:proofErr w:type="spellEnd"/>
      <w:r>
        <w:t xml:space="preserve"> </w:t>
      </w:r>
      <w:proofErr w:type="spellStart"/>
      <w:r>
        <w:t>Candidate’s</w:t>
      </w:r>
      <w:proofErr w:type="spellEnd"/>
      <w:r>
        <w:t xml:space="preserve"> </w:t>
      </w:r>
      <w:proofErr w:type="spellStart"/>
      <w:r>
        <w:t>registration</w:t>
      </w:r>
      <w:proofErr w:type="spellEnd"/>
      <w:r>
        <w:t xml:space="preserve"> </w:t>
      </w:r>
      <w:proofErr w:type="spellStart"/>
      <w:r>
        <w:t>can</w:t>
      </w:r>
      <w:proofErr w:type="spellEnd"/>
      <w:r>
        <w:t xml:space="preserve"> </w:t>
      </w:r>
      <w:proofErr w:type="spellStart"/>
      <w:r>
        <w:t>be</w:t>
      </w:r>
      <w:proofErr w:type="spellEnd"/>
      <w:r>
        <w:t xml:space="preserve"> </w:t>
      </w:r>
      <w:proofErr w:type="spellStart"/>
      <w:r>
        <w:t>verified</w:t>
      </w:r>
      <w:proofErr w:type="spellEnd"/>
      <w:r>
        <w:t>).</w:t>
      </w:r>
    </w:p>
  </w:footnote>
  <w:footnote w:id="6">
    <w:p w:rsidR="00BA2705" w:rsidRDefault="00931873">
      <w:pPr>
        <w:pStyle w:val="FootnoteText"/>
        <w:jc w:val="both"/>
      </w:pPr>
      <w:r>
        <w:rPr>
          <w:rStyle w:val="FootnoteCharacters"/>
        </w:rPr>
        <w:footnoteRef/>
      </w:r>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the</w:t>
      </w:r>
      <w:proofErr w:type="spellEnd"/>
      <w:r>
        <w:t xml:space="preserve"> </w:t>
      </w:r>
      <w:proofErr w:type="spellStart"/>
      <w:r>
        <w:t>Commission</w:t>
      </w:r>
      <w:proofErr w:type="spellEnd"/>
      <w:r>
        <w:t xml:space="preserve"> </w:t>
      </w:r>
      <w:proofErr w:type="spellStart"/>
      <w:r>
        <w:t>Recommendation</w:t>
      </w:r>
      <w:proofErr w:type="spellEnd"/>
      <w:r>
        <w:t xml:space="preserve"> </w:t>
      </w:r>
      <w:proofErr w:type="spellStart"/>
      <w:r>
        <w:t>of</w:t>
      </w:r>
      <w:proofErr w:type="spellEnd"/>
      <w:r>
        <w:t xml:space="preserve"> 6 </w:t>
      </w:r>
      <w:proofErr w:type="spellStart"/>
      <w:r>
        <w:t>May</w:t>
      </w:r>
      <w:proofErr w:type="spellEnd"/>
      <w:r>
        <w:t xml:space="preserve"> 2003 </w:t>
      </w:r>
      <w:proofErr w:type="spellStart"/>
      <w:r>
        <w:t>concerning</w:t>
      </w:r>
      <w:proofErr w:type="spellEnd"/>
      <w:r>
        <w:t xml:space="preserve"> </w:t>
      </w:r>
      <w:proofErr w:type="spellStart"/>
      <w:r>
        <w:t>the</w:t>
      </w:r>
      <w:proofErr w:type="spellEnd"/>
      <w:r>
        <w:t xml:space="preserve"> </w:t>
      </w:r>
      <w:proofErr w:type="spellStart"/>
      <w:r>
        <w:t>definition</w:t>
      </w:r>
      <w:proofErr w:type="spellEnd"/>
      <w:r>
        <w:t xml:space="preserve"> </w:t>
      </w:r>
      <w:proofErr w:type="spellStart"/>
      <w:r>
        <w:t>of</w:t>
      </w:r>
      <w:proofErr w:type="spellEnd"/>
      <w:r>
        <w:t xml:space="preserve"> </w:t>
      </w:r>
      <w:proofErr w:type="spellStart"/>
      <w:r>
        <w:t>micro</w:t>
      </w:r>
      <w:proofErr w:type="spellEnd"/>
      <w:r>
        <w:t xml:space="preserve">, </w:t>
      </w:r>
      <w:proofErr w:type="spellStart"/>
      <w:r>
        <w:t>small</w:t>
      </w:r>
      <w:proofErr w:type="spellEnd"/>
      <w:r>
        <w:t xml:space="preserve"> </w:t>
      </w:r>
      <w:proofErr w:type="spellStart"/>
      <w:r>
        <w:t>and</w:t>
      </w:r>
      <w:proofErr w:type="spellEnd"/>
      <w:r>
        <w:t xml:space="preserve"> </w:t>
      </w:r>
      <w:proofErr w:type="spellStart"/>
      <w:r>
        <w:t>medium-sized</w:t>
      </w:r>
      <w:proofErr w:type="spellEnd"/>
      <w:r>
        <w:t xml:space="preserve"> </w:t>
      </w:r>
      <w:proofErr w:type="spellStart"/>
      <w:r>
        <w:t>enterprises</w:t>
      </w:r>
      <w:proofErr w:type="spellEnd"/>
      <w:r>
        <w:t xml:space="preserve"> (OJ L 124, 20.5.2003), a </w:t>
      </w:r>
      <w:proofErr w:type="spellStart"/>
      <w:r>
        <w:t>small</w:t>
      </w:r>
      <w:proofErr w:type="spellEnd"/>
      <w:r>
        <w:t xml:space="preserve"> </w:t>
      </w:r>
      <w:proofErr w:type="spellStart"/>
      <w:r>
        <w:t>or</w:t>
      </w:r>
      <w:proofErr w:type="spellEnd"/>
      <w:r>
        <w:t xml:space="preserve"> </w:t>
      </w:r>
      <w:proofErr w:type="spellStart"/>
      <w:r>
        <w:t>medium-sized</w:t>
      </w:r>
      <w:proofErr w:type="spellEnd"/>
      <w:r>
        <w:t xml:space="preserve"> </w:t>
      </w:r>
      <w:proofErr w:type="spellStart"/>
      <w:r>
        <w:t>enterprise</w:t>
      </w:r>
      <w:proofErr w:type="spellEnd"/>
      <w:r>
        <w:t xml:space="preserve"> </w:t>
      </w:r>
      <w:proofErr w:type="spellStart"/>
      <w:r>
        <w:t>is</w:t>
      </w:r>
      <w:proofErr w:type="spellEnd"/>
      <w:r>
        <w:t xml:space="preserve"> </w:t>
      </w:r>
      <w:proofErr w:type="spellStart"/>
      <w:r>
        <w:t>an</w:t>
      </w:r>
      <w:proofErr w:type="spellEnd"/>
      <w:r>
        <w:t xml:space="preserve"> </w:t>
      </w:r>
      <w:proofErr w:type="spellStart"/>
      <w:r>
        <w:t>enterprise</w:t>
      </w:r>
      <w:proofErr w:type="spellEnd"/>
      <w:r>
        <w:t xml:space="preserve"> </w:t>
      </w:r>
      <w:proofErr w:type="spellStart"/>
      <w:r>
        <w:t>which</w:t>
      </w:r>
      <w:proofErr w:type="spellEnd"/>
      <w:r>
        <w:t xml:space="preserve"> </w:t>
      </w:r>
      <w:proofErr w:type="spellStart"/>
      <w:r>
        <w:t>employs</w:t>
      </w:r>
      <w:proofErr w:type="spellEnd"/>
      <w:r>
        <w:t xml:space="preserve"> </w:t>
      </w:r>
      <w:proofErr w:type="spellStart"/>
      <w:r>
        <w:t>fewer</w:t>
      </w:r>
      <w:proofErr w:type="spellEnd"/>
      <w:r>
        <w:t xml:space="preserve"> </w:t>
      </w:r>
      <w:proofErr w:type="spellStart"/>
      <w:r>
        <w:t>than</w:t>
      </w:r>
      <w:proofErr w:type="spellEnd"/>
      <w:r>
        <w:t xml:space="preserve"> 250 </w:t>
      </w:r>
      <w:proofErr w:type="spellStart"/>
      <w:r>
        <w:t>persons</w:t>
      </w:r>
      <w:proofErr w:type="spellEnd"/>
      <w:r>
        <w:t xml:space="preserve"> </w:t>
      </w:r>
      <w:proofErr w:type="spellStart"/>
      <w:r>
        <w:t>and</w:t>
      </w:r>
      <w:proofErr w:type="spellEnd"/>
      <w:r>
        <w:t xml:space="preserve"> </w:t>
      </w:r>
      <w:proofErr w:type="spellStart"/>
      <w:r>
        <w:t>has</w:t>
      </w:r>
      <w:proofErr w:type="spellEnd"/>
      <w:r>
        <w:t xml:space="preserve"> </w:t>
      </w:r>
      <w:proofErr w:type="spellStart"/>
      <w:r>
        <w:t>an</w:t>
      </w:r>
      <w:proofErr w:type="spellEnd"/>
      <w:r>
        <w:t xml:space="preserve"> </w:t>
      </w:r>
      <w:proofErr w:type="spellStart"/>
      <w:r>
        <w:t>annual</w:t>
      </w:r>
      <w:proofErr w:type="spellEnd"/>
      <w:r>
        <w:t xml:space="preserve"> </w:t>
      </w:r>
      <w:proofErr w:type="spellStart"/>
      <w:r>
        <w:t>turnover</w:t>
      </w:r>
      <w:proofErr w:type="spellEnd"/>
      <w:r>
        <w:t xml:space="preserve"> </w:t>
      </w:r>
      <w:proofErr w:type="spellStart"/>
      <w:r>
        <w:t>not</w:t>
      </w:r>
      <w:proofErr w:type="spellEnd"/>
      <w:r>
        <w:t xml:space="preserve"> </w:t>
      </w:r>
      <w:proofErr w:type="spellStart"/>
      <w:r>
        <w:t>exceeding</w:t>
      </w:r>
      <w:proofErr w:type="spellEnd"/>
      <w:r>
        <w:t xml:space="preserve"> EUR 50 </w:t>
      </w:r>
      <w:proofErr w:type="spellStart"/>
      <w:r>
        <w:t>million</w:t>
      </w:r>
      <w:proofErr w:type="spellEnd"/>
      <w:r>
        <w:t xml:space="preserve"> </w:t>
      </w:r>
      <w:proofErr w:type="spellStart"/>
      <w:r>
        <w:t>and</w:t>
      </w:r>
      <w:proofErr w:type="spellEnd"/>
      <w:r>
        <w:t>/</w:t>
      </w:r>
      <w:proofErr w:type="spellStart"/>
      <w:r>
        <w:t>or</w:t>
      </w:r>
      <w:proofErr w:type="spellEnd"/>
      <w:r>
        <w:t xml:space="preserve"> </w:t>
      </w:r>
      <w:proofErr w:type="spellStart"/>
      <w:r>
        <w:t>an</w:t>
      </w:r>
      <w:proofErr w:type="spellEnd"/>
      <w:r>
        <w:t xml:space="preserve"> </w:t>
      </w:r>
      <w:proofErr w:type="spellStart"/>
      <w:r>
        <w:t>annual</w:t>
      </w:r>
      <w:proofErr w:type="spellEnd"/>
      <w:r>
        <w:t xml:space="preserve"> </w:t>
      </w:r>
      <w:proofErr w:type="spellStart"/>
      <w:r>
        <w:t>balance</w:t>
      </w:r>
      <w:proofErr w:type="spellEnd"/>
      <w:r>
        <w:t xml:space="preserve"> </w:t>
      </w:r>
      <w:proofErr w:type="spellStart"/>
      <w:r>
        <w:t>sheet</w:t>
      </w:r>
      <w:proofErr w:type="spellEnd"/>
      <w:r>
        <w:t xml:space="preserve"> </w:t>
      </w:r>
      <w:proofErr w:type="spellStart"/>
      <w:r>
        <w:t>total</w:t>
      </w:r>
      <w:proofErr w:type="spellEnd"/>
      <w:r>
        <w:t xml:space="preserve"> </w:t>
      </w:r>
      <w:proofErr w:type="spellStart"/>
      <w:r>
        <w:t>not</w:t>
      </w:r>
      <w:proofErr w:type="spellEnd"/>
      <w:r>
        <w:t xml:space="preserve"> </w:t>
      </w:r>
      <w:proofErr w:type="spellStart"/>
      <w:r>
        <w:t>exceeding</w:t>
      </w:r>
      <w:proofErr w:type="spellEnd"/>
      <w:r>
        <w:t xml:space="preserve"> EUR 43 </w:t>
      </w:r>
      <w:proofErr w:type="spellStart"/>
      <w:r>
        <w:t>million</w:t>
      </w:r>
      <w:proofErr w:type="spellEnd"/>
      <w:r>
        <w:t>.</w:t>
      </w:r>
    </w:p>
  </w:footnote>
  <w:footnote w:id="7">
    <w:p w:rsidR="00BA2705" w:rsidRDefault="00931873">
      <w:pPr>
        <w:pStyle w:val="FootnoteText"/>
        <w:jc w:val="both"/>
      </w:pPr>
      <w:r>
        <w:rPr>
          <w:rStyle w:val="FootnoteCharacters"/>
        </w:rPr>
        <w:footnoteRef/>
      </w:r>
      <w:r>
        <w:t xml:space="preserve"> ESPD </w:t>
      </w:r>
      <w:proofErr w:type="spellStart"/>
      <w:r>
        <w:t>may</w:t>
      </w:r>
      <w:proofErr w:type="spellEnd"/>
      <w:r>
        <w:t xml:space="preserve"> </w:t>
      </w:r>
      <w:proofErr w:type="spellStart"/>
      <w:r>
        <w:t>be</w:t>
      </w:r>
      <w:proofErr w:type="spellEnd"/>
      <w:r>
        <w:t xml:space="preserve"> </w:t>
      </w:r>
      <w:proofErr w:type="spellStart"/>
      <w:r>
        <w:t>prepared</w:t>
      </w:r>
      <w:proofErr w:type="spellEnd"/>
      <w:r>
        <w:t xml:space="preserve"> </w:t>
      </w:r>
      <w:proofErr w:type="spellStart"/>
      <w:r>
        <w:t>in</w:t>
      </w:r>
      <w:proofErr w:type="spellEnd"/>
      <w:r>
        <w:t xml:space="preserve"> </w:t>
      </w:r>
      <w:proofErr w:type="spellStart"/>
      <w:r>
        <w:t>one</w:t>
      </w:r>
      <w:proofErr w:type="spellEnd"/>
      <w:r>
        <w:t xml:space="preserve"> </w:t>
      </w:r>
      <w:proofErr w:type="spellStart"/>
      <w:r>
        <w:t>of</w:t>
      </w:r>
      <w:proofErr w:type="spellEnd"/>
      <w:r>
        <w:t xml:space="preserve"> </w:t>
      </w:r>
      <w:proofErr w:type="spellStart"/>
      <w:r>
        <w:t>the</w:t>
      </w:r>
      <w:proofErr w:type="spellEnd"/>
      <w:r>
        <w:t xml:space="preserve"> </w:t>
      </w:r>
      <w:proofErr w:type="spellStart"/>
      <w:r>
        <w:t>following</w:t>
      </w:r>
      <w:proofErr w:type="spellEnd"/>
      <w:r>
        <w:t xml:space="preserve"> </w:t>
      </w:r>
      <w:proofErr w:type="spellStart"/>
      <w:r>
        <w:t>ways</w:t>
      </w:r>
      <w:proofErr w:type="spellEnd"/>
      <w:r>
        <w:t>:</w:t>
      </w:r>
    </w:p>
    <w:p w:rsidR="00BA2705" w:rsidRDefault="00931873">
      <w:pPr>
        <w:pStyle w:val="FootnoteText"/>
        <w:keepNext/>
        <w:jc w:val="both"/>
      </w:pPr>
      <w:r>
        <w:t xml:space="preserve">1) </w:t>
      </w:r>
      <w:proofErr w:type="spellStart"/>
      <w:r>
        <w:t>by</w:t>
      </w:r>
      <w:proofErr w:type="spellEnd"/>
      <w:r>
        <w:t xml:space="preserve"> </w:t>
      </w:r>
      <w:proofErr w:type="spellStart"/>
      <w:r>
        <w:t>completing</w:t>
      </w:r>
      <w:proofErr w:type="spellEnd"/>
      <w:r>
        <w:t xml:space="preserve"> </w:t>
      </w:r>
      <w:proofErr w:type="spellStart"/>
      <w:r>
        <w:t>the</w:t>
      </w:r>
      <w:proofErr w:type="spellEnd"/>
      <w:r>
        <w:t xml:space="preserve"> </w:t>
      </w:r>
      <w:proofErr w:type="spellStart"/>
      <w:r>
        <w:t>standard</w:t>
      </w:r>
      <w:proofErr w:type="spellEnd"/>
      <w:r>
        <w:t xml:space="preserve"> </w:t>
      </w:r>
      <w:proofErr w:type="spellStart"/>
      <w:r>
        <w:t>form</w:t>
      </w:r>
      <w:proofErr w:type="spellEnd"/>
      <w:r>
        <w:t xml:space="preserve"> set </w:t>
      </w:r>
      <w:proofErr w:type="spellStart"/>
      <w:r>
        <w:t>out</w:t>
      </w:r>
      <w:proofErr w:type="spellEnd"/>
      <w:r>
        <w:t xml:space="preserve"> </w:t>
      </w:r>
      <w:proofErr w:type="spellStart"/>
      <w:r>
        <w:t>in</w:t>
      </w:r>
      <w:proofErr w:type="spellEnd"/>
      <w:r>
        <w:t xml:space="preserve"> </w:t>
      </w:r>
      <w:proofErr w:type="spellStart"/>
      <w:r>
        <w:t>Annex</w:t>
      </w:r>
      <w:proofErr w:type="spellEnd"/>
      <w:r>
        <w:t xml:space="preserve"> 2 to </w:t>
      </w:r>
      <w:proofErr w:type="spellStart"/>
      <w:r>
        <w:t>Commission</w:t>
      </w:r>
      <w:proofErr w:type="spellEnd"/>
      <w:r>
        <w:t xml:space="preserve"> </w:t>
      </w:r>
      <w:proofErr w:type="spellStart"/>
      <w:r>
        <w:t>Implementing</w:t>
      </w:r>
      <w:proofErr w:type="spellEnd"/>
      <w:r>
        <w:t xml:space="preserve"> </w:t>
      </w:r>
      <w:proofErr w:type="spellStart"/>
      <w:r>
        <w:t>Regulation</w:t>
      </w:r>
      <w:proofErr w:type="spellEnd"/>
      <w:r>
        <w:t xml:space="preserve"> (EU) 2016/7 </w:t>
      </w:r>
      <w:proofErr w:type="spellStart"/>
      <w:r>
        <w:t>of</w:t>
      </w:r>
      <w:proofErr w:type="spellEnd"/>
      <w:r>
        <w:t xml:space="preserve"> 5 </w:t>
      </w:r>
      <w:proofErr w:type="spellStart"/>
      <w:r>
        <w:t>January</w:t>
      </w:r>
      <w:proofErr w:type="spellEnd"/>
      <w:r>
        <w:t xml:space="preserve"> 2016 </w:t>
      </w:r>
      <w:proofErr w:type="spellStart"/>
      <w:r>
        <w:t>establishing</w:t>
      </w:r>
      <w:proofErr w:type="spellEnd"/>
      <w:r>
        <w:t xml:space="preserve"> </w:t>
      </w:r>
      <w:proofErr w:type="spellStart"/>
      <w:r>
        <w:t>the</w:t>
      </w:r>
      <w:proofErr w:type="spellEnd"/>
      <w:r>
        <w:t xml:space="preserve"> </w:t>
      </w:r>
      <w:proofErr w:type="spellStart"/>
      <w:r>
        <w:t>standard</w:t>
      </w:r>
      <w:proofErr w:type="spellEnd"/>
      <w:r>
        <w:t xml:space="preserve"> </w:t>
      </w:r>
      <w:proofErr w:type="spellStart"/>
      <w:r>
        <w:t>form</w:t>
      </w:r>
      <w:proofErr w:type="spellEnd"/>
      <w:r>
        <w:t xml:space="preserve"> </w:t>
      </w:r>
      <w:proofErr w:type="spellStart"/>
      <w:r>
        <w:t>for</w:t>
      </w:r>
      <w:proofErr w:type="spellEnd"/>
      <w:r>
        <w:t xml:space="preserve"> </w:t>
      </w:r>
      <w:proofErr w:type="spellStart"/>
      <w:r>
        <w:t>the</w:t>
      </w:r>
      <w:proofErr w:type="spellEnd"/>
      <w:r>
        <w:t xml:space="preserve"> </w:t>
      </w:r>
      <w:proofErr w:type="spellStart"/>
      <w:r>
        <w:t>European</w:t>
      </w:r>
      <w:proofErr w:type="spellEnd"/>
      <w:r>
        <w:t xml:space="preserve"> </w:t>
      </w:r>
      <w:proofErr w:type="spellStart"/>
      <w:r>
        <w:t>Single</w:t>
      </w:r>
      <w:proofErr w:type="spellEnd"/>
      <w:r>
        <w:t xml:space="preserve"> </w:t>
      </w:r>
      <w:proofErr w:type="spellStart"/>
      <w:r>
        <w:t>Procurement</w:t>
      </w:r>
      <w:proofErr w:type="spellEnd"/>
      <w:r>
        <w:t xml:space="preserve"> </w:t>
      </w:r>
      <w:proofErr w:type="spellStart"/>
      <w:r>
        <w:t>Document</w:t>
      </w:r>
      <w:proofErr w:type="spellEnd"/>
      <w:r>
        <w:t>;</w:t>
      </w:r>
    </w:p>
    <w:p w:rsidR="00BA2705" w:rsidRDefault="00931873">
      <w:pPr>
        <w:pStyle w:val="FootnoteText"/>
        <w:jc w:val="both"/>
      </w:pPr>
      <w:r>
        <w:t xml:space="preserve">2) </w:t>
      </w:r>
      <w:proofErr w:type="spellStart"/>
      <w:r>
        <w:t>by</w:t>
      </w:r>
      <w:proofErr w:type="spellEnd"/>
      <w:r>
        <w:t xml:space="preserve"> </w:t>
      </w:r>
      <w:proofErr w:type="spellStart"/>
      <w:r>
        <w:t>completing</w:t>
      </w:r>
      <w:proofErr w:type="spellEnd"/>
      <w:r>
        <w:t xml:space="preserve"> </w:t>
      </w:r>
      <w:proofErr w:type="spellStart"/>
      <w:r>
        <w:t>the</w:t>
      </w:r>
      <w:proofErr w:type="spellEnd"/>
      <w:r>
        <w:t xml:space="preserve"> ESPD </w:t>
      </w:r>
      <w:proofErr w:type="spellStart"/>
      <w:r>
        <w:t>form</w:t>
      </w:r>
      <w:proofErr w:type="spellEnd"/>
      <w:r>
        <w:t xml:space="preserve"> </w:t>
      </w:r>
      <w:proofErr w:type="spellStart"/>
      <w:r>
        <w:t>using</w:t>
      </w:r>
      <w:proofErr w:type="spellEnd"/>
      <w:r>
        <w:t xml:space="preserve"> </w:t>
      </w:r>
      <w:proofErr w:type="spellStart"/>
      <w:r>
        <w:t>the</w:t>
      </w:r>
      <w:proofErr w:type="spellEnd"/>
      <w:r>
        <w:t xml:space="preserve"> </w:t>
      </w:r>
      <w:proofErr w:type="spellStart"/>
      <w:r>
        <w:t>tool</w:t>
      </w:r>
      <w:proofErr w:type="spellEnd"/>
      <w:r>
        <w:t xml:space="preserve"> </w:t>
      </w:r>
      <w:proofErr w:type="spellStart"/>
      <w:r>
        <w:t>available</w:t>
      </w:r>
      <w:proofErr w:type="spellEnd"/>
      <w:r>
        <w:t xml:space="preserve"> </w:t>
      </w:r>
      <w:proofErr w:type="spellStart"/>
      <w:r>
        <w:t>on</w:t>
      </w:r>
      <w:proofErr w:type="spellEnd"/>
      <w:r>
        <w:t xml:space="preserve"> </w:t>
      </w:r>
      <w:proofErr w:type="spellStart"/>
      <w:r>
        <w:t>the</w:t>
      </w:r>
      <w:proofErr w:type="spellEnd"/>
      <w:r>
        <w:t xml:space="preserve"> </w:t>
      </w:r>
      <w:proofErr w:type="spellStart"/>
      <w:r>
        <w:t>website</w:t>
      </w:r>
      <w:proofErr w:type="spellEnd"/>
      <w:r>
        <w:t xml:space="preserve"> </w:t>
      </w:r>
      <w:proofErr w:type="spellStart"/>
      <w:r>
        <w:t>of</w:t>
      </w:r>
      <w:proofErr w:type="spellEnd"/>
      <w:r>
        <w:t xml:space="preserve"> </w:t>
      </w:r>
      <w:proofErr w:type="spellStart"/>
      <w:r>
        <w:t>the</w:t>
      </w:r>
      <w:proofErr w:type="spellEnd"/>
      <w:r>
        <w:t xml:space="preserve"> E-</w:t>
      </w:r>
      <w:proofErr w:type="spellStart"/>
      <w:r>
        <w:t>Tenders</w:t>
      </w:r>
      <w:proofErr w:type="spellEnd"/>
      <w:r>
        <w:t xml:space="preserve"> </w:t>
      </w:r>
      <w:proofErr w:type="spellStart"/>
      <w:r>
        <w:t>System</w:t>
      </w:r>
      <w:proofErr w:type="spellEnd"/>
      <w:r>
        <w:t xml:space="preserve"> </w:t>
      </w:r>
      <w:proofErr w:type="spellStart"/>
      <w:r>
        <w:t>at</w:t>
      </w:r>
      <w:proofErr w:type="spellEnd"/>
      <w:r>
        <w:t xml:space="preserve"> http://espd.eis.gov.lv.</w:t>
      </w:r>
    </w:p>
  </w:footnote>
  <w:footnote w:id="8">
    <w:p w:rsidR="00BA2705" w:rsidRDefault="00931873">
      <w:pPr>
        <w:shd w:val="clear" w:color="auto" w:fill="FFFFFF"/>
        <w:jc w:val="both"/>
      </w:pPr>
      <w:r>
        <w:rPr>
          <w:rStyle w:val="FootnoteCharacters"/>
        </w:rPr>
        <w:footnoteRef/>
      </w:r>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further</w:t>
      </w:r>
      <w:proofErr w:type="spellEnd"/>
      <w:r>
        <w:rPr>
          <w:sz w:val="20"/>
          <w:szCs w:val="20"/>
        </w:rPr>
        <w:t xml:space="preserve"> </w:t>
      </w:r>
      <w:proofErr w:type="spellStart"/>
      <w:r>
        <w:rPr>
          <w:sz w:val="20"/>
          <w:szCs w:val="20"/>
        </w:rPr>
        <w:t>information</w:t>
      </w:r>
      <w:proofErr w:type="spellEnd"/>
      <w:r>
        <w:rPr>
          <w:sz w:val="20"/>
          <w:szCs w:val="20"/>
        </w:rPr>
        <w:t xml:space="preserve"> </w:t>
      </w:r>
      <w:proofErr w:type="spellStart"/>
      <w:r>
        <w:rPr>
          <w:sz w:val="20"/>
          <w:szCs w:val="20"/>
        </w:rPr>
        <w:t>on</w:t>
      </w:r>
      <w:proofErr w:type="spellEnd"/>
      <w:r>
        <w:rPr>
          <w:sz w:val="20"/>
          <w:szCs w:val="20"/>
        </w:rPr>
        <w:t xml:space="preserve"> </w:t>
      </w:r>
      <w:proofErr w:type="spellStart"/>
      <w:r>
        <w:rPr>
          <w:sz w:val="20"/>
          <w:szCs w:val="20"/>
        </w:rPr>
        <w:t>registration</w:t>
      </w:r>
      <w:proofErr w:type="spellEnd"/>
      <w:r>
        <w:rPr>
          <w:sz w:val="20"/>
          <w:szCs w:val="20"/>
        </w:rPr>
        <w:t xml:space="preserve"> </w:t>
      </w:r>
      <w:proofErr w:type="spellStart"/>
      <w:r>
        <w:rPr>
          <w:sz w:val="20"/>
          <w:szCs w:val="20"/>
        </w:rPr>
        <w:t>in</w:t>
      </w:r>
      <w:proofErr w:type="spellEnd"/>
      <w:r>
        <w:rPr>
          <w:sz w:val="20"/>
          <w:szCs w:val="20"/>
        </w:rPr>
        <w:t xml:space="preserve"> </w:t>
      </w:r>
      <w:proofErr w:type="spellStart"/>
      <w:r>
        <w:rPr>
          <w:sz w:val="20"/>
          <w:szCs w:val="20"/>
        </w:rPr>
        <w:t>the</w:t>
      </w:r>
      <w:proofErr w:type="spellEnd"/>
      <w:r>
        <w:rPr>
          <w:sz w:val="20"/>
          <w:szCs w:val="20"/>
        </w:rPr>
        <w:t xml:space="preserve"> E-</w:t>
      </w:r>
      <w:proofErr w:type="spellStart"/>
      <w:r>
        <w:rPr>
          <w:sz w:val="20"/>
          <w:szCs w:val="20"/>
        </w:rPr>
        <w:t>Tenders</w:t>
      </w:r>
      <w:proofErr w:type="spellEnd"/>
      <w:r>
        <w:rPr>
          <w:sz w:val="20"/>
          <w:szCs w:val="20"/>
        </w:rPr>
        <w:t xml:space="preserve"> </w:t>
      </w:r>
      <w:proofErr w:type="spellStart"/>
      <w:r>
        <w:rPr>
          <w:sz w:val="20"/>
          <w:szCs w:val="20"/>
        </w:rPr>
        <w:t>System</w:t>
      </w:r>
      <w:proofErr w:type="spellEnd"/>
      <w:r>
        <w:rPr>
          <w:sz w:val="20"/>
          <w:szCs w:val="20"/>
        </w:rPr>
        <w:t xml:space="preserve">, </w:t>
      </w:r>
      <w:proofErr w:type="spellStart"/>
      <w:r>
        <w:rPr>
          <w:sz w:val="20"/>
          <w:szCs w:val="20"/>
        </w:rPr>
        <w:t>see</w:t>
      </w:r>
      <w:proofErr w:type="spellEnd"/>
      <w:r>
        <w:rPr>
          <w:sz w:val="20"/>
          <w:szCs w:val="20"/>
        </w:rPr>
        <w:t xml:space="preserve"> </w:t>
      </w:r>
      <w:proofErr w:type="spellStart"/>
      <w:r>
        <w:rPr>
          <w:sz w:val="20"/>
          <w:szCs w:val="20"/>
        </w:rPr>
        <w:t>Chapter</w:t>
      </w:r>
      <w:proofErr w:type="spellEnd"/>
      <w:r>
        <w:rPr>
          <w:sz w:val="20"/>
          <w:szCs w:val="20"/>
        </w:rPr>
        <w:t xml:space="preserve"> 2 </w:t>
      </w:r>
      <w:proofErr w:type="spellStart"/>
      <w:r>
        <w:rPr>
          <w:sz w:val="20"/>
          <w:szCs w:val="20"/>
        </w:rPr>
        <w:t>of</w:t>
      </w:r>
      <w:proofErr w:type="spellEnd"/>
      <w:r>
        <w:rPr>
          <w:sz w:val="20"/>
          <w:szCs w:val="20"/>
        </w:rPr>
        <w:t xml:space="preserve"> </w:t>
      </w:r>
      <w:proofErr w:type="spellStart"/>
      <w:r>
        <w:rPr>
          <w:sz w:val="20"/>
          <w:szCs w:val="20"/>
        </w:rPr>
        <w:t>Cabinet</w:t>
      </w:r>
      <w:proofErr w:type="spellEnd"/>
      <w:r>
        <w:rPr>
          <w:sz w:val="20"/>
          <w:szCs w:val="20"/>
        </w:rPr>
        <w:t xml:space="preserve"> </w:t>
      </w:r>
      <w:proofErr w:type="spellStart"/>
      <w:r>
        <w:rPr>
          <w:sz w:val="20"/>
          <w:szCs w:val="20"/>
        </w:rPr>
        <w:t>Regulation</w:t>
      </w:r>
      <w:proofErr w:type="spellEnd"/>
      <w:r>
        <w:rPr>
          <w:sz w:val="20"/>
          <w:szCs w:val="20"/>
        </w:rPr>
        <w:t xml:space="preserve"> No. 816 </w:t>
      </w:r>
      <w:proofErr w:type="spellStart"/>
      <w:r>
        <w:rPr>
          <w:sz w:val="20"/>
          <w:szCs w:val="20"/>
        </w:rPr>
        <w:t>of</w:t>
      </w:r>
      <w:proofErr w:type="spellEnd"/>
      <w:r>
        <w:rPr>
          <w:sz w:val="20"/>
          <w:szCs w:val="20"/>
        </w:rPr>
        <w:t xml:space="preserve"> 20 </w:t>
      </w:r>
      <w:proofErr w:type="spellStart"/>
      <w:r>
        <w:rPr>
          <w:sz w:val="20"/>
          <w:szCs w:val="20"/>
        </w:rPr>
        <w:t>December</w:t>
      </w:r>
      <w:proofErr w:type="spellEnd"/>
      <w:r>
        <w:rPr>
          <w:sz w:val="20"/>
          <w:szCs w:val="20"/>
        </w:rPr>
        <w:t xml:space="preserve"> 2022 “</w:t>
      </w:r>
      <w:proofErr w:type="spellStart"/>
      <w:r>
        <w:rPr>
          <w:sz w:val="20"/>
          <w:szCs w:val="20"/>
        </w:rPr>
        <w:t>Procedures</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Electronic</w:t>
      </w:r>
      <w:proofErr w:type="spellEnd"/>
      <w:r>
        <w:rPr>
          <w:sz w:val="20"/>
          <w:szCs w:val="20"/>
        </w:rPr>
        <w:t xml:space="preserve"> </w:t>
      </w:r>
      <w:proofErr w:type="spellStart"/>
      <w:r>
        <w:rPr>
          <w:sz w:val="20"/>
          <w:szCs w:val="20"/>
        </w:rPr>
        <w:t>Public</w:t>
      </w:r>
      <w:proofErr w:type="spellEnd"/>
      <w:r>
        <w:rPr>
          <w:sz w:val="20"/>
          <w:szCs w:val="20"/>
        </w:rPr>
        <w:t xml:space="preserve"> </w:t>
      </w:r>
      <w:proofErr w:type="spellStart"/>
      <w:r>
        <w:rPr>
          <w:sz w:val="20"/>
          <w:szCs w:val="20"/>
        </w:rPr>
        <w:t>Procurement</w:t>
      </w:r>
      <w:proofErr w:type="spellEnd"/>
      <w:r>
        <w:rPr>
          <w:sz w:val="20"/>
          <w:szCs w:val="20"/>
        </w:rPr>
        <w:t>” (</w:t>
      </w:r>
      <w:proofErr w:type="spellStart"/>
      <w:r>
        <w:rPr>
          <w:sz w:val="20"/>
          <w:szCs w:val="20"/>
        </w:rPr>
        <w:t>available</w:t>
      </w:r>
      <w:proofErr w:type="spellEnd"/>
      <w:r>
        <w:rPr>
          <w:sz w:val="20"/>
          <w:szCs w:val="20"/>
        </w:rPr>
        <w:t xml:space="preserve"> </w:t>
      </w:r>
      <w:proofErr w:type="spellStart"/>
      <w:r>
        <w:rPr>
          <w:sz w:val="20"/>
          <w:szCs w:val="20"/>
        </w:rPr>
        <w:t>only</w:t>
      </w:r>
      <w:proofErr w:type="spellEnd"/>
      <w:r>
        <w:rPr>
          <w:sz w:val="20"/>
          <w:szCs w:val="20"/>
        </w:rPr>
        <w:t xml:space="preserve"> </w:t>
      </w:r>
      <w:proofErr w:type="spellStart"/>
      <w:r>
        <w:rPr>
          <w:sz w:val="20"/>
          <w:szCs w:val="20"/>
        </w:rPr>
        <w:t>in</w:t>
      </w:r>
      <w:proofErr w:type="spellEnd"/>
      <w:r>
        <w:rPr>
          <w:sz w:val="20"/>
          <w:szCs w:val="20"/>
        </w:rPr>
        <w:t xml:space="preserve"> </w:t>
      </w:r>
      <w:proofErr w:type="spellStart"/>
      <w:r>
        <w:rPr>
          <w:sz w:val="20"/>
          <w:szCs w:val="20"/>
        </w:rPr>
        <w:t>Latvian</w:t>
      </w:r>
      <w:proofErr w:type="spellEnd"/>
      <w:r>
        <w:rPr>
          <w:sz w:val="20"/>
          <w:szCs w:val="20"/>
        </w:rPr>
        <w:t xml:space="preserve">). </w:t>
      </w:r>
      <w:proofErr w:type="spellStart"/>
      <w:r>
        <w:rPr>
          <w:sz w:val="20"/>
          <w:szCs w:val="20"/>
        </w:rPr>
        <w:t>Foreign</w:t>
      </w:r>
      <w:proofErr w:type="spellEnd"/>
      <w:r>
        <w:rPr>
          <w:sz w:val="20"/>
          <w:szCs w:val="20"/>
        </w:rPr>
        <w:t xml:space="preserve"> </w:t>
      </w:r>
      <w:proofErr w:type="spellStart"/>
      <w:r>
        <w:rPr>
          <w:sz w:val="20"/>
          <w:szCs w:val="20"/>
        </w:rPr>
        <w:t>Candidates</w:t>
      </w:r>
      <w:proofErr w:type="spellEnd"/>
      <w:r>
        <w:rPr>
          <w:sz w:val="20"/>
          <w:szCs w:val="20"/>
        </w:rPr>
        <w:t xml:space="preserve"> (</w:t>
      </w:r>
      <w:proofErr w:type="spellStart"/>
      <w:r>
        <w:rPr>
          <w:sz w:val="20"/>
          <w:szCs w:val="20"/>
        </w:rPr>
        <w:t>in</w:t>
      </w:r>
      <w:proofErr w:type="spellEnd"/>
      <w:r>
        <w:rPr>
          <w:sz w:val="20"/>
          <w:szCs w:val="20"/>
        </w:rPr>
        <w:t xml:space="preserve"> </w:t>
      </w:r>
      <w:proofErr w:type="spellStart"/>
      <w:r>
        <w:rPr>
          <w:sz w:val="20"/>
          <w:szCs w:val="20"/>
        </w:rPr>
        <w:t>English</w:t>
      </w:r>
      <w:proofErr w:type="spellEnd"/>
      <w:r>
        <w:rPr>
          <w:sz w:val="20"/>
          <w:szCs w:val="20"/>
        </w:rPr>
        <w:t xml:space="preserve">) </w:t>
      </w:r>
      <w:proofErr w:type="spellStart"/>
      <w:r>
        <w:rPr>
          <w:sz w:val="20"/>
          <w:szCs w:val="20"/>
        </w:rPr>
        <w:t>are</w:t>
      </w:r>
      <w:proofErr w:type="spellEnd"/>
      <w:r>
        <w:rPr>
          <w:sz w:val="20"/>
          <w:szCs w:val="20"/>
        </w:rPr>
        <w:t xml:space="preserve"> </w:t>
      </w:r>
      <w:proofErr w:type="spellStart"/>
      <w:r>
        <w:rPr>
          <w:sz w:val="20"/>
          <w:szCs w:val="20"/>
        </w:rPr>
        <w:t>requested</w:t>
      </w:r>
      <w:proofErr w:type="spellEnd"/>
      <w:r>
        <w:rPr>
          <w:sz w:val="20"/>
          <w:szCs w:val="20"/>
        </w:rPr>
        <w:t xml:space="preserve"> to </w:t>
      </w:r>
      <w:proofErr w:type="spellStart"/>
      <w:r>
        <w:rPr>
          <w:sz w:val="20"/>
          <w:szCs w:val="20"/>
        </w:rPr>
        <w:t>consult</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information</w:t>
      </w:r>
      <w:proofErr w:type="spellEnd"/>
      <w:r>
        <w:rPr>
          <w:sz w:val="20"/>
          <w:szCs w:val="20"/>
        </w:rPr>
        <w:t xml:space="preserve"> </w:t>
      </w:r>
      <w:proofErr w:type="spellStart"/>
      <w:r>
        <w:rPr>
          <w:sz w:val="20"/>
          <w:szCs w:val="20"/>
        </w:rPr>
        <w:t>on</w:t>
      </w:r>
      <w:proofErr w:type="spellEnd"/>
      <w:r>
        <w:rPr>
          <w:sz w:val="20"/>
          <w:szCs w:val="20"/>
        </w:rPr>
        <w:t xml:space="preserve"> </w:t>
      </w:r>
      <w:proofErr w:type="spellStart"/>
      <w:r>
        <w:rPr>
          <w:sz w:val="20"/>
          <w:szCs w:val="20"/>
        </w:rPr>
        <w:t>registration</w:t>
      </w:r>
      <w:proofErr w:type="spellEnd"/>
      <w:r>
        <w:rPr>
          <w:sz w:val="20"/>
          <w:szCs w:val="20"/>
        </w:rPr>
        <w:t xml:space="preserve"> </w:t>
      </w:r>
      <w:proofErr w:type="spellStart"/>
      <w:r>
        <w:rPr>
          <w:sz w:val="20"/>
          <w:szCs w:val="20"/>
        </w:rPr>
        <w:t>in</w:t>
      </w:r>
      <w:proofErr w:type="spellEnd"/>
      <w:r>
        <w:rPr>
          <w:sz w:val="20"/>
          <w:szCs w:val="20"/>
        </w:rPr>
        <w:t xml:space="preserve"> </w:t>
      </w:r>
      <w:proofErr w:type="spellStart"/>
      <w:r>
        <w:rPr>
          <w:sz w:val="20"/>
          <w:szCs w:val="20"/>
        </w:rPr>
        <w:t>the</w:t>
      </w:r>
      <w:proofErr w:type="spellEnd"/>
      <w:r>
        <w:rPr>
          <w:sz w:val="20"/>
          <w:szCs w:val="20"/>
        </w:rPr>
        <w:t xml:space="preserve"> E-</w:t>
      </w:r>
      <w:proofErr w:type="spellStart"/>
      <w:r>
        <w:rPr>
          <w:sz w:val="20"/>
          <w:szCs w:val="20"/>
        </w:rPr>
        <w:t>Tenders</w:t>
      </w:r>
      <w:proofErr w:type="spellEnd"/>
      <w:r>
        <w:rPr>
          <w:sz w:val="20"/>
          <w:szCs w:val="20"/>
        </w:rPr>
        <w:t xml:space="preserve"> </w:t>
      </w:r>
      <w:proofErr w:type="spellStart"/>
      <w:r>
        <w:rPr>
          <w:sz w:val="20"/>
          <w:szCs w:val="20"/>
        </w:rPr>
        <w:t>System</w:t>
      </w:r>
      <w:proofErr w:type="spellEnd"/>
      <w:r>
        <w:rPr>
          <w:sz w:val="20"/>
          <w:szCs w:val="20"/>
        </w:rPr>
        <w:t xml:space="preserve"> </w:t>
      </w:r>
      <w:proofErr w:type="spellStart"/>
      <w:r>
        <w:rPr>
          <w:sz w:val="20"/>
          <w:szCs w:val="20"/>
        </w:rPr>
        <w:t>at</w:t>
      </w:r>
      <w:proofErr w:type="spellEnd"/>
      <w:r>
        <w:rPr>
          <w:sz w:val="20"/>
          <w:szCs w:val="20"/>
        </w:rPr>
        <w:t xml:space="preserve"> </w:t>
      </w:r>
      <w:hyperlink r:id="rId1">
        <w:r>
          <w:rPr>
            <w:rStyle w:val="Hyperlink"/>
            <w:sz w:val="20"/>
            <w:szCs w:val="20"/>
          </w:rPr>
          <w:t>https://www.eis.gov.lv/EIS/Publications/PublicationView.aspx?PublicationId=1203&amp;systemCode=CORE</w:t>
        </w:r>
      </w:hyperlink>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contact</w:t>
      </w:r>
      <w:proofErr w:type="spellEnd"/>
      <w:r>
        <w:rPr>
          <w:sz w:val="20"/>
          <w:szCs w:val="20"/>
        </w:rPr>
        <w:t xml:space="preserve"> </w:t>
      </w:r>
      <w:proofErr w:type="spellStart"/>
      <w:r>
        <w:rPr>
          <w:sz w:val="20"/>
          <w:szCs w:val="20"/>
        </w:rPr>
        <w:t>the</w:t>
      </w:r>
      <w:proofErr w:type="spellEnd"/>
      <w:r>
        <w:rPr>
          <w:sz w:val="20"/>
          <w:szCs w:val="20"/>
        </w:rPr>
        <w:t xml:space="preserve"> E-</w:t>
      </w:r>
      <w:proofErr w:type="spellStart"/>
      <w:r>
        <w:rPr>
          <w:sz w:val="20"/>
          <w:szCs w:val="20"/>
        </w:rPr>
        <w:t>Tenders</w:t>
      </w:r>
      <w:proofErr w:type="spellEnd"/>
      <w:r>
        <w:rPr>
          <w:sz w:val="20"/>
          <w:szCs w:val="20"/>
        </w:rPr>
        <w:t xml:space="preserve"> </w:t>
      </w:r>
      <w:proofErr w:type="spellStart"/>
      <w:r>
        <w:rPr>
          <w:sz w:val="20"/>
          <w:szCs w:val="20"/>
        </w:rPr>
        <w:t>System</w:t>
      </w:r>
      <w:proofErr w:type="spellEnd"/>
      <w:r>
        <w:rPr>
          <w:sz w:val="20"/>
          <w:szCs w:val="20"/>
        </w:rPr>
        <w:t xml:space="preserve"> </w:t>
      </w:r>
      <w:proofErr w:type="spellStart"/>
      <w:r>
        <w:rPr>
          <w:sz w:val="20"/>
          <w:szCs w:val="20"/>
        </w:rPr>
        <w:t>support</w:t>
      </w:r>
      <w:proofErr w:type="spellEnd"/>
      <w:r>
        <w:rPr>
          <w:sz w:val="20"/>
          <w:szCs w:val="20"/>
        </w:rPr>
        <w:t xml:space="preserve"> </w:t>
      </w:r>
      <w:proofErr w:type="spellStart"/>
      <w:r>
        <w:rPr>
          <w:sz w:val="20"/>
          <w:szCs w:val="20"/>
        </w:rPr>
        <w:t>service</w:t>
      </w:r>
      <w:proofErr w:type="spellEnd"/>
      <w:r>
        <w:rPr>
          <w:sz w:val="20"/>
          <w:szCs w:val="20"/>
        </w:rPr>
        <w:t xml:space="preserve"> </w:t>
      </w:r>
      <w:proofErr w:type="spellStart"/>
      <w:r>
        <w:rPr>
          <w:sz w:val="20"/>
          <w:szCs w:val="20"/>
        </w:rPr>
        <w:t>by</w:t>
      </w:r>
      <w:proofErr w:type="spellEnd"/>
      <w:r>
        <w:rPr>
          <w:sz w:val="20"/>
          <w:szCs w:val="20"/>
        </w:rPr>
        <w:t xml:space="preserve"> e-</w:t>
      </w:r>
      <w:proofErr w:type="spellStart"/>
      <w:r>
        <w:rPr>
          <w:sz w:val="20"/>
          <w:szCs w:val="20"/>
        </w:rPr>
        <w:t>mail</w:t>
      </w:r>
      <w:proofErr w:type="spellEnd"/>
      <w:r>
        <w:rPr>
          <w:sz w:val="20"/>
          <w:szCs w:val="20"/>
        </w:rPr>
        <w:t xml:space="preserve"> </w:t>
      </w:r>
      <w:proofErr w:type="spellStart"/>
      <w:r>
        <w:rPr>
          <w:sz w:val="20"/>
          <w:szCs w:val="20"/>
        </w:rPr>
        <w:t>at</w:t>
      </w:r>
      <w:proofErr w:type="spellEnd"/>
      <w:r>
        <w:rPr>
          <w:sz w:val="20"/>
          <w:szCs w:val="20"/>
        </w:rPr>
        <w:t xml:space="preserve"> </w:t>
      </w:r>
      <w:hyperlink r:id="rId2">
        <w:r>
          <w:rPr>
            <w:rStyle w:val="Hyperlink"/>
            <w:sz w:val="20"/>
            <w:szCs w:val="20"/>
          </w:rPr>
          <w:t>eis@vraa.gov.lv</w:t>
        </w:r>
      </w:hyperlink>
      <w:r>
        <w:rPr>
          <w:sz w:val="20"/>
          <w:szCs w:val="20"/>
        </w:rPr>
        <w:t xml:space="preserve">, </w:t>
      </w:r>
      <w:proofErr w:type="spellStart"/>
      <w:r>
        <w:rPr>
          <w:sz w:val="20"/>
          <w:szCs w:val="20"/>
        </w:rPr>
        <w:t>telephone</w:t>
      </w:r>
      <w:proofErr w:type="spellEnd"/>
      <w:r>
        <w:rPr>
          <w:sz w:val="20"/>
          <w:szCs w:val="20"/>
        </w:rPr>
        <w:t xml:space="preserve"> +371 66155511, </w:t>
      </w:r>
      <w:proofErr w:type="spellStart"/>
      <w:r>
        <w:rPr>
          <w:sz w:val="20"/>
          <w:szCs w:val="20"/>
        </w:rPr>
        <w:t>or</w:t>
      </w:r>
      <w:proofErr w:type="spellEnd"/>
      <w:r>
        <w:rPr>
          <w:sz w:val="20"/>
          <w:szCs w:val="20"/>
        </w:rPr>
        <w:t xml:space="preserve"> </w:t>
      </w:r>
      <w:proofErr w:type="spellStart"/>
      <w:r>
        <w:rPr>
          <w:sz w:val="20"/>
          <w:szCs w:val="20"/>
        </w:rPr>
        <w:t>contact</w:t>
      </w:r>
      <w:proofErr w:type="spellEnd"/>
      <w:r>
        <w:rPr>
          <w:sz w:val="20"/>
          <w:szCs w:val="20"/>
        </w:rPr>
        <w:t xml:space="preserve"> Zigurds </w:t>
      </w:r>
      <w:proofErr w:type="spellStart"/>
      <w:r>
        <w:rPr>
          <w:sz w:val="20"/>
          <w:szCs w:val="20"/>
        </w:rPr>
        <w:t>Drafens</w:t>
      </w:r>
      <w:proofErr w:type="spellEnd"/>
      <w:r>
        <w:rPr>
          <w:sz w:val="20"/>
          <w:szCs w:val="20"/>
        </w:rPr>
        <w:t xml:space="preserve"> </w:t>
      </w:r>
      <w:proofErr w:type="spellStart"/>
      <w:r>
        <w:rPr>
          <w:sz w:val="20"/>
          <w:szCs w:val="20"/>
        </w:rPr>
        <w:t>at</w:t>
      </w:r>
      <w:proofErr w:type="spellEnd"/>
      <w:r>
        <w:rPr>
          <w:sz w:val="20"/>
          <w:szCs w:val="20"/>
        </w:rPr>
        <w:t xml:space="preserve"> </w:t>
      </w:r>
      <w:hyperlink r:id="rId3">
        <w:r>
          <w:rPr>
            <w:rStyle w:val="Hyperlink"/>
            <w:color w:val="000066"/>
            <w:sz w:val="20"/>
            <w:szCs w:val="20"/>
          </w:rPr>
          <w:t>zigurds.drafens@vraa.gov.lv</w:t>
        </w:r>
      </w:hyperlink>
      <w:r>
        <w:rPr>
          <w:color w:val="333333"/>
          <w:sz w:val="20"/>
          <w:szCs w:val="20"/>
        </w:rPr>
        <w:t xml:space="preserve">, </w:t>
      </w:r>
      <w:proofErr w:type="spellStart"/>
      <w:r>
        <w:rPr>
          <w:color w:val="333333"/>
          <w:sz w:val="20"/>
          <w:szCs w:val="20"/>
        </w:rPr>
        <w:t>telephone</w:t>
      </w:r>
      <w:proofErr w:type="spellEnd"/>
      <w:r>
        <w:rPr>
          <w:color w:val="333333"/>
          <w:sz w:val="20"/>
          <w:szCs w:val="20"/>
        </w:rPr>
        <w:t xml:space="preserve"> +371 67509520.</w:t>
      </w:r>
    </w:p>
  </w:footnote>
  <w:footnote w:id="9">
    <w:p w:rsidR="00BA2705" w:rsidRDefault="00931873">
      <w:pPr>
        <w:pStyle w:val="FootnoteText"/>
        <w:jc w:val="both"/>
      </w:pPr>
      <w:r>
        <w:rPr>
          <w:rStyle w:val="FootnoteCharacters"/>
        </w:rPr>
        <w:footnoteRef/>
      </w:r>
      <w:r>
        <w:t xml:space="preserve"> </w:t>
      </w:r>
      <w:proofErr w:type="spellStart"/>
      <w:r>
        <w:t>The</w:t>
      </w:r>
      <w:proofErr w:type="spellEnd"/>
      <w:r>
        <w:t xml:space="preserve"> </w:t>
      </w:r>
      <w:proofErr w:type="spellStart"/>
      <w:r>
        <w:t>information</w:t>
      </w:r>
      <w:proofErr w:type="spellEnd"/>
      <w:r>
        <w:t xml:space="preserve"> </w:t>
      </w:r>
      <w:proofErr w:type="spellStart"/>
      <w:r>
        <w:t>contained</w:t>
      </w:r>
      <w:proofErr w:type="spellEnd"/>
      <w:r>
        <w:t xml:space="preserve"> </w:t>
      </w:r>
      <w:proofErr w:type="spellStart"/>
      <w:r>
        <w:t>in</w:t>
      </w:r>
      <w:proofErr w:type="spellEnd"/>
      <w:r>
        <w:t xml:space="preserve"> </w:t>
      </w:r>
      <w:proofErr w:type="spellStart"/>
      <w:r>
        <w:t>the</w:t>
      </w:r>
      <w:proofErr w:type="spellEnd"/>
      <w:r>
        <w:t xml:space="preserve"> </w:t>
      </w:r>
      <w:proofErr w:type="spellStart"/>
      <w:r>
        <w:t>user</w:t>
      </w:r>
      <w:proofErr w:type="spellEnd"/>
      <w:r>
        <w:t xml:space="preserve"> </w:t>
      </w:r>
      <w:proofErr w:type="spellStart"/>
      <w:r>
        <w:t>manual</w:t>
      </w:r>
      <w:proofErr w:type="spellEnd"/>
      <w:r>
        <w:t xml:space="preserve"> </w:t>
      </w:r>
      <w:proofErr w:type="spellStart"/>
      <w:r>
        <w:t>of</w:t>
      </w:r>
      <w:proofErr w:type="spellEnd"/>
      <w:r>
        <w:t xml:space="preserve"> </w:t>
      </w:r>
      <w:proofErr w:type="spellStart"/>
      <w:r>
        <w:t>the</w:t>
      </w:r>
      <w:proofErr w:type="spellEnd"/>
      <w:r>
        <w:t xml:space="preserve"> E-</w:t>
      </w:r>
      <w:proofErr w:type="spellStart"/>
      <w:r>
        <w:t>Tenders</w:t>
      </w:r>
      <w:proofErr w:type="spellEnd"/>
      <w:r>
        <w:t xml:space="preserve"> </w:t>
      </w:r>
      <w:proofErr w:type="spellStart"/>
      <w:r>
        <w:t>System</w:t>
      </w:r>
      <w:proofErr w:type="spellEnd"/>
      <w:r>
        <w:t xml:space="preserve"> </w:t>
      </w:r>
      <w:proofErr w:type="spellStart"/>
      <w:r>
        <w:t>is</w:t>
      </w:r>
      <w:proofErr w:type="spellEnd"/>
      <w:r>
        <w:t xml:space="preserve"> </w:t>
      </w:r>
      <w:proofErr w:type="spellStart"/>
      <w:r>
        <w:t>available</w:t>
      </w:r>
      <w:proofErr w:type="spellEnd"/>
      <w:r>
        <w:t xml:space="preserve"> </w:t>
      </w:r>
      <w:proofErr w:type="spellStart"/>
      <w:r>
        <w:t>on</w:t>
      </w:r>
      <w:proofErr w:type="spellEnd"/>
      <w:r>
        <w:t xml:space="preserve"> </w:t>
      </w:r>
      <w:proofErr w:type="spellStart"/>
      <w:r>
        <w:t>the</w:t>
      </w:r>
      <w:proofErr w:type="spellEnd"/>
      <w:r>
        <w:t xml:space="preserve"> </w:t>
      </w:r>
      <w:proofErr w:type="spellStart"/>
      <w:r>
        <w:t>website</w:t>
      </w:r>
      <w:proofErr w:type="spellEnd"/>
      <w:r>
        <w:t xml:space="preserve">: https://www.eis.gov.lv/EKEIS/NetHelp/lv/LRG%20Help.htm#!Documents. </w:t>
      </w:r>
      <w:proofErr w:type="spellStart"/>
      <w:r>
        <w:t>Foreign</w:t>
      </w:r>
      <w:proofErr w:type="spellEnd"/>
      <w:r>
        <w:t xml:space="preserve"> </w:t>
      </w:r>
      <w:proofErr w:type="spellStart"/>
      <w:r>
        <w:t>Candidates</w:t>
      </w:r>
      <w:proofErr w:type="spellEnd"/>
      <w:r>
        <w:t xml:space="preserve"> (</w:t>
      </w:r>
      <w:proofErr w:type="spellStart"/>
      <w:r>
        <w:t>in</w:t>
      </w:r>
      <w:proofErr w:type="spellEnd"/>
      <w:r>
        <w:t xml:space="preserve"> </w:t>
      </w:r>
      <w:proofErr w:type="spellStart"/>
      <w:r>
        <w:t>English</w:t>
      </w:r>
      <w:proofErr w:type="spellEnd"/>
      <w:r>
        <w:t xml:space="preserve">) </w:t>
      </w:r>
      <w:proofErr w:type="spellStart"/>
      <w:r>
        <w:t>are</w:t>
      </w:r>
      <w:proofErr w:type="spellEnd"/>
      <w:r>
        <w:t xml:space="preserve"> </w:t>
      </w:r>
      <w:proofErr w:type="spellStart"/>
      <w:r>
        <w:t>requested</w:t>
      </w:r>
      <w:proofErr w:type="spellEnd"/>
      <w:r>
        <w:t xml:space="preserve"> to </w:t>
      </w:r>
      <w:proofErr w:type="spellStart"/>
      <w:r>
        <w:t>consult</w:t>
      </w:r>
      <w:proofErr w:type="spellEnd"/>
      <w:r>
        <w:t xml:space="preserve"> </w:t>
      </w:r>
      <w:proofErr w:type="spellStart"/>
      <w:r>
        <w:t>the</w:t>
      </w:r>
      <w:proofErr w:type="spellEnd"/>
      <w:r>
        <w:t xml:space="preserve"> </w:t>
      </w:r>
      <w:proofErr w:type="spellStart"/>
      <w:r>
        <w:t>information</w:t>
      </w:r>
      <w:proofErr w:type="spellEnd"/>
      <w:r>
        <w:t xml:space="preserve"> </w:t>
      </w:r>
      <w:proofErr w:type="spellStart"/>
      <w:r>
        <w:t>at</w:t>
      </w:r>
      <w:proofErr w:type="spellEnd"/>
      <w:r>
        <w:t xml:space="preserve">: </w:t>
      </w:r>
      <w:hyperlink r:id="rId4" w:anchor="!Documents" w:history="1"/>
      <w:hyperlink r:id="rId5">
        <w:r>
          <w:rPr>
            <w:rStyle w:val="Hyperlink"/>
          </w:rPr>
          <w:t>http://paligs.eis.gov.lv/suppliers/N_0_2.html</w:t>
        </w:r>
      </w:hyperlink>
      <w:r>
        <w:t>.</w:t>
      </w:r>
    </w:p>
  </w:footnote>
  <w:footnote w:id="10">
    <w:p w:rsidR="00BA2705" w:rsidRDefault="00931873">
      <w:pPr>
        <w:pStyle w:val="Heading4"/>
        <w:spacing w:before="0" w:after="0"/>
      </w:pPr>
      <w:r>
        <w:rPr>
          <w:rStyle w:val="FootnoteCharacters"/>
        </w:rPr>
        <w:footnoteRef/>
      </w:r>
      <w:r>
        <w:rPr>
          <w:rFonts w:ascii="Times New Roman" w:hAnsi="Times New Roman" w:cs="Times New Roman"/>
          <w:b w:val="0"/>
          <w:bCs w:val="0"/>
          <w:sz w:val="20"/>
          <w:szCs w:val="20"/>
        </w:rPr>
        <w:t xml:space="preserve">  </w:t>
      </w:r>
      <w:hyperlink r:id="rId6">
        <w:r>
          <w:rPr>
            <w:rStyle w:val="Hyperlink"/>
            <w:rFonts w:ascii="Times New Roman" w:hAnsi="Times New Roman" w:cs="Times New Roman"/>
            <w:sz w:val="20"/>
            <w:szCs w:val="20"/>
          </w:rPr>
          <w:t>https://www.eis.gov.lv/EKEIS/Publication/View/1063?subsystemCode=KON</w:t>
        </w:r>
      </w:hyperlink>
      <w:r>
        <w:rPr>
          <w:rFonts w:ascii="Times New Roman" w:hAnsi="Times New Roman" w:cs="Times New Roman"/>
          <w:b w:val="0"/>
          <w:bCs w:val="0"/>
          <w:sz w:val="20"/>
          <w:szCs w:val="20"/>
        </w:rPr>
        <w:t xml:space="preserve"> “</w:t>
      </w:r>
      <w:proofErr w:type="spellStart"/>
      <w:r>
        <w:rPr>
          <w:rFonts w:ascii="Times New Roman" w:hAnsi="Times New Roman" w:cs="Times New Roman"/>
          <w:b w:val="0"/>
          <w:bCs w:val="0"/>
          <w:sz w:val="20"/>
          <w:szCs w:val="20"/>
        </w:rPr>
        <w:t>How</w:t>
      </w:r>
      <w:proofErr w:type="spellEnd"/>
      <w:r>
        <w:rPr>
          <w:rFonts w:ascii="Times New Roman" w:hAnsi="Times New Roman" w:cs="Times New Roman"/>
          <w:b w:val="0"/>
          <w:bCs w:val="0"/>
          <w:sz w:val="20"/>
          <w:szCs w:val="20"/>
        </w:rPr>
        <w:t xml:space="preserve"> to </w:t>
      </w:r>
      <w:proofErr w:type="spellStart"/>
      <w:r>
        <w:rPr>
          <w:rFonts w:ascii="Times New Roman" w:hAnsi="Times New Roman" w:cs="Times New Roman"/>
          <w:b w:val="0"/>
          <w:bCs w:val="0"/>
          <w:sz w:val="20"/>
          <w:szCs w:val="20"/>
        </w:rPr>
        <w:t>add</w:t>
      </w:r>
      <w:proofErr w:type="spellEnd"/>
      <w:r>
        <w:rPr>
          <w:rFonts w:ascii="Times New Roman" w:hAnsi="Times New Roman" w:cs="Times New Roman"/>
          <w:b w:val="0"/>
          <w:bCs w:val="0"/>
          <w:sz w:val="20"/>
          <w:szCs w:val="20"/>
        </w:rPr>
        <w:t xml:space="preserve"> </w:t>
      </w:r>
      <w:proofErr w:type="spellStart"/>
      <w:r>
        <w:rPr>
          <w:rFonts w:ascii="Times New Roman" w:hAnsi="Times New Roman" w:cs="Times New Roman"/>
          <w:b w:val="0"/>
          <w:bCs w:val="0"/>
          <w:sz w:val="20"/>
          <w:szCs w:val="20"/>
        </w:rPr>
        <w:t>files</w:t>
      </w:r>
      <w:proofErr w:type="spellEnd"/>
      <w:r>
        <w:rPr>
          <w:rFonts w:ascii="Times New Roman" w:hAnsi="Times New Roman" w:cs="Times New Roman"/>
          <w:b w:val="0"/>
          <w:bCs w:val="0"/>
          <w:sz w:val="20"/>
          <w:szCs w:val="20"/>
        </w:rPr>
        <w:t xml:space="preserve"> </w:t>
      </w:r>
      <w:proofErr w:type="spellStart"/>
      <w:r>
        <w:rPr>
          <w:rFonts w:ascii="Times New Roman" w:hAnsi="Times New Roman" w:cs="Times New Roman"/>
          <w:b w:val="0"/>
          <w:bCs w:val="0"/>
          <w:sz w:val="20"/>
          <w:szCs w:val="20"/>
        </w:rPr>
        <w:t>larger</w:t>
      </w:r>
      <w:proofErr w:type="spellEnd"/>
      <w:r>
        <w:rPr>
          <w:rFonts w:ascii="Times New Roman" w:hAnsi="Times New Roman" w:cs="Times New Roman"/>
          <w:b w:val="0"/>
          <w:bCs w:val="0"/>
          <w:sz w:val="20"/>
          <w:szCs w:val="20"/>
        </w:rPr>
        <w:t xml:space="preserve"> </w:t>
      </w:r>
      <w:proofErr w:type="spellStart"/>
      <w:r>
        <w:rPr>
          <w:rFonts w:ascii="Times New Roman" w:hAnsi="Times New Roman" w:cs="Times New Roman"/>
          <w:b w:val="0"/>
          <w:bCs w:val="0"/>
          <w:sz w:val="20"/>
          <w:szCs w:val="20"/>
        </w:rPr>
        <w:t>than</w:t>
      </w:r>
      <w:proofErr w:type="spellEnd"/>
      <w:r>
        <w:rPr>
          <w:rFonts w:ascii="Times New Roman" w:hAnsi="Times New Roman" w:cs="Times New Roman"/>
          <w:b w:val="0"/>
          <w:bCs w:val="0"/>
          <w:sz w:val="20"/>
          <w:szCs w:val="20"/>
        </w:rPr>
        <w:t xml:space="preserve"> 5 MB </w:t>
      </w:r>
      <w:proofErr w:type="spellStart"/>
      <w:r>
        <w:rPr>
          <w:rFonts w:ascii="Times New Roman" w:hAnsi="Times New Roman" w:cs="Times New Roman"/>
          <w:b w:val="0"/>
          <w:bCs w:val="0"/>
          <w:sz w:val="20"/>
          <w:szCs w:val="20"/>
        </w:rPr>
        <w:t>in</w:t>
      </w:r>
      <w:proofErr w:type="spellEnd"/>
      <w:r>
        <w:rPr>
          <w:rFonts w:ascii="Times New Roman" w:hAnsi="Times New Roman" w:cs="Times New Roman"/>
          <w:b w:val="0"/>
          <w:bCs w:val="0"/>
          <w:sz w:val="20"/>
          <w:szCs w:val="20"/>
        </w:rPr>
        <w:t xml:space="preserve"> </w:t>
      </w:r>
      <w:proofErr w:type="spellStart"/>
      <w:r>
        <w:rPr>
          <w:rFonts w:ascii="Times New Roman" w:hAnsi="Times New Roman" w:cs="Times New Roman"/>
          <w:b w:val="0"/>
          <w:bCs w:val="0"/>
          <w:sz w:val="20"/>
          <w:szCs w:val="20"/>
        </w:rPr>
        <w:t>the</w:t>
      </w:r>
      <w:proofErr w:type="spellEnd"/>
      <w:r>
        <w:rPr>
          <w:rFonts w:ascii="Times New Roman" w:hAnsi="Times New Roman" w:cs="Times New Roman"/>
          <w:b w:val="0"/>
          <w:bCs w:val="0"/>
          <w:sz w:val="20"/>
          <w:szCs w:val="20"/>
        </w:rPr>
        <w:t xml:space="preserve"> e-</w:t>
      </w:r>
      <w:proofErr w:type="spellStart"/>
      <w:r>
        <w:rPr>
          <w:rFonts w:ascii="Times New Roman" w:hAnsi="Times New Roman" w:cs="Times New Roman"/>
          <w:b w:val="0"/>
          <w:bCs w:val="0"/>
          <w:sz w:val="20"/>
          <w:szCs w:val="20"/>
        </w:rPr>
        <w:t>tender</w:t>
      </w:r>
      <w:proofErr w:type="spellEnd"/>
      <w:r>
        <w:rPr>
          <w:rFonts w:ascii="Times New Roman" w:hAnsi="Times New Roman" w:cs="Times New Roman"/>
          <w:b w:val="0"/>
          <w:bCs w:val="0"/>
          <w:sz w:val="20"/>
          <w:szCs w:val="20"/>
        </w:rPr>
        <w:t>”.</w:t>
      </w:r>
    </w:p>
  </w:footnote>
  <w:footnote w:id="11">
    <w:p w:rsidR="00BA2705" w:rsidRPr="006F524C" w:rsidRDefault="00931873">
      <w:pPr>
        <w:pStyle w:val="FootnoteText"/>
        <w:jc w:val="both"/>
        <w:rPr>
          <w:lang w:val="en-GB"/>
        </w:rPr>
      </w:pPr>
      <w:r w:rsidRPr="006F524C">
        <w:rPr>
          <w:rStyle w:val="FootnoteCharacters"/>
          <w:lang w:val="en-GB"/>
        </w:rPr>
        <w:footnoteRef/>
      </w:r>
      <w:r w:rsidRPr="006F524C">
        <w:rPr>
          <w:lang w:val="en-GB"/>
        </w:rPr>
        <w:t xml:space="preserve"> The first-level encryption of the Application is ensured by the E-Tenders System. Second-level encryption of the Application involves a wide variety of risks; therefore, the Contracting Authority recommends applying second-level encryption to the Application only where specifically necessary.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705" w:rsidRDefault="00931873">
    <w:pPr>
      <w:pStyle w:val="Header"/>
      <w:jc w:val="center"/>
    </w:pPr>
    <w:r>
      <w:fldChar w:fldCharType="begin"/>
    </w:r>
    <w:r>
      <w:instrText xml:space="preserve"> PAGE </w:instrText>
    </w:r>
    <w:r>
      <w:fldChar w:fldCharType="separate"/>
    </w:r>
    <w:r>
      <w:t>11</w:t>
    </w:r>
    <w:r>
      <w:fldChar w:fldCharType="end"/>
    </w:r>
  </w:p>
  <w:p w:rsidR="00BA2705" w:rsidRDefault="00BA27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705" w:rsidRDefault="00BA2705">
    <w:pPr>
      <w:pStyle w:val="Header"/>
      <w:jc w:val="center"/>
    </w:pPr>
  </w:p>
  <w:p w:rsidR="00BA2705" w:rsidRDefault="00BA2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26B3D"/>
    <w:multiLevelType w:val="multilevel"/>
    <w:tmpl w:val="949A3E06"/>
    <w:lvl w:ilvl="0">
      <w:start w:val="12"/>
      <w:numFmt w:val="decimal"/>
      <w:lvlText w:val="%1."/>
      <w:lvlJc w:val="left"/>
      <w:pPr>
        <w:tabs>
          <w:tab w:val="num" w:pos="0"/>
        </w:tabs>
        <w:ind w:left="900" w:hanging="360"/>
      </w:pPr>
      <w:rPr>
        <w:b/>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C40AA9"/>
    <w:multiLevelType w:val="multilevel"/>
    <w:tmpl w:val="67861218"/>
    <w:lvl w:ilvl="0">
      <w:start w:val="5"/>
      <w:numFmt w:val="bullet"/>
      <w:lvlText w:val="-"/>
      <w:lvlJc w:val="left"/>
      <w:pPr>
        <w:tabs>
          <w:tab w:val="num" w:pos="0"/>
        </w:tabs>
        <w:ind w:left="72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6645DFC"/>
    <w:multiLevelType w:val="multilevel"/>
    <w:tmpl w:val="ACF24ED0"/>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379627F4"/>
    <w:multiLevelType w:val="multilevel"/>
    <w:tmpl w:val="CDDC2CAE"/>
    <w:lvl w:ilvl="0">
      <w:numFmt w:val="bullet"/>
      <w:pStyle w:val="Heading3"/>
      <w:lvlText w:val="-"/>
      <w:lvlJc w:val="left"/>
      <w:pPr>
        <w:tabs>
          <w:tab w:val="num" w:pos="1260"/>
        </w:tabs>
        <w:ind w:left="12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9643E80"/>
    <w:multiLevelType w:val="multilevel"/>
    <w:tmpl w:val="D60E8E42"/>
    <w:lvl w:ilvl="0">
      <w:start w:val="1"/>
      <w:numFmt w:val="decimal"/>
      <w:pStyle w:val="Style1"/>
      <w:lvlText w:val="%1."/>
      <w:lvlJc w:val="left"/>
      <w:pPr>
        <w:tabs>
          <w:tab w:val="num" w:pos="0"/>
        </w:tabs>
        <w:ind w:left="360" w:hanging="360"/>
      </w:pPr>
      <w:rPr>
        <w:b/>
      </w:rPr>
    </w:lvl>
    <w:lvl w:ilvl="1">
      <w:start w:val="1"/>
      <w:numFmt w:val="decimal"/>
      <w:lvlText w:val="%1.%2."/>
      <w:lvlJc w:val="left"/>
      <w:pPr>
        <w:tabs>
          <w:tab w:val="num" w:pos="0"/>
        </w:tabs>
        <w:ind w:left="792" w:hanging="432"/>
      </w:pPr>
      <w:rPr>
        <w:sz w:val="24"/>
        <w:szCs w:val="24"/>
      </w:rPr>
    </w:lvl>
    <w:lvl w:ilvl="2">
      <w:start w:val="1"/>
      <w:numFmt w:val="decimal"/>
      <w:lvlText w:val="%1.%2.%3."/>
      <w:lvlJc w:val="left"/>
      <w:pPr>
        <w:tabs>
          <w:tab w:val="num" w:pos="0"/>
        </w:tabs>
        <w:ind w:left="1355" w:hanging="504"/>
      </w:pPr>
      <w:rPr>
        <w:b w:val="0"/>
        <w:sz w:val="24"/>
        <w:szCs w:val="24"/>
      </w:rPr>
    </w:lvl>
    <w:lvl w:ilvl="3">
      <w:start w:val="1"/>
      <w:numFmt w:val="decimal"/>
      <w:lvlText w:val="%1.%2.%3.%4."/>
      <w:lvlJc w:val="left"/>
      <w:pPr>
        <w:tabs>
          <w:tab w:val="num" w:pos="0"/>
        </w:tabs>
        <w:ind w:left="220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B931A08"/>
    <w:multiLevelType w:val="multilevel"/>
    <w:tmpl w:val="BF548F22"/>
    <w:lvl w:ilvl="0">
      <w:start w:val="9"/>
      <w:numFmt w:val="decimal"/>
      <w:lvlText w:val="%1."/>
      <w:lvlJc w:val="left"/>
      <w:pPr>
        <w:tabs>
          <w:tab w:val="num" w:pos="0"/>
        </w:tabs>
        <w:ind w:left="540" w:hanging="540"/>
      </w:pPr>
      <w:rPr>
        <w:b/>
      </w:rPr>
    </w:lvl>
    <w:lvl w:ilvl="1">
      <w:start w:val="1"/>
      <w:numFmt w:val="decimal"/>
      <w:lvlText w:val="%1.%2."/>
      <w:lvlJc w:val="left"/>
      <w:pPr>
        <w:tabs>
          <w:tab w:val="num" w:pos="709"/>
        </w:tabs>
        <w:ind w:left="750" w:hanging="540"/>
      </w:pPr>
    </w:lvl>
    <w:lvl w:ilvl="2">
      <w:start w:val="1"/>
      <w:numFmt w:val="decimal"/>
      <w:lvlText w:val="%1.%2.%3."/>
      <w:lvlJc w:val="left"/>
      <w:pPr>
        <w:tabs>
          <w:tab w:val="num" w:pos="0"/>
        </w:tabs>
        <w:ind w:left="1140" w:hanging="720"/>
      </w:pPr>
    </w:lvl>
    <w:lvl w:ilvl="3">
      <w:start w:val="1"/>
      <w:numFmt w:val="decimal"/>
      <w:lvlText w:val="%1.%2.%3.%4."/>
      <w:lvlJc w:val="left"/>
      <w:pPr>
        <w:tabs>
          <w:tab w:val="num" w:pos="0"/>
        </w:tabs>
        <w:ind w:left="1350" w:hanging="720"/>
      </w:pPr>
    </w:lvl>
    <w:lvl w:ilvl="4">
      <w:start w:val="1"/>
      <w:numFmt w:val="decimal"/>
      <w:lvlText w:val="%1.%2.%3.%4.%5."/>
      <w:lvlJc w:val="left"/>
      <w:pPr>
        <w:tabs>
          <w:tab w:val="num" w:pos="0"/>
        </w:tabs>
        <w:ind w:left="1920" w:hanging="1080"/>
      </w:pPr>
    </w:lvl>
    <w:lvl w:ilvl="5">
      <w:start w:val="1"/>
      <w:numFmt w:val="decimal"/>
      <w:lvlText w:val="%1.%2.%3.%4.%5.%6."/>
      <w:lvlJc w:val="left"/>
      <w:pPr>
        <w:tabs>
          <w:tab w:val="num" w:pos="0"/>
        </w:tabs>
        <w:ind w:left="2130" w:hanging="1080"/>
      </w:pPr>
    </w:lvl>
    <w:lvl w:ilvl="6">
      <w:start w:val="1"/>
      <w:numFmt w:val="decimal"/>
      <w:lvlText w:val="%1.%2.%3.%4.%5.%6.%7."/>
      <w:lvlJc w:val="left"/>
      <w:pPr>
        <w:tabs>
          <w:tab w:val="num" w:pos="0"/>
        </w:tabs>
        <w:ind w:left="2700" w:hanging="1440"/>
      </w:pPr>
    </w:lvl>
    <w:lvl w:ilvl="7">
      <w:start w:val="1"/>
      <w:numFmt w:val="decimal"/>
      <w:lvlText w:val="%1.%2.%3.%4.%5.%6.%7.%8."/>
      <w:lvlJc w:val="left"/>
      <w:pPr>
        <w:tabs>
          <w:tab w:val="num" w:pos="0"/>
        </w:tabs>
        <w:ind w:left="2910" w:hanging="1440"/>
      </w:pPr>
    </w:lvl>
    <w:lvl w:ilvl="8">
      <w:start w:val="1"/>
      <w:numFmt w:val="decimal"/>
      <w:lvlText w:val="%1.%2.%3.%4.%5.%6.%7.%8.%9."/>
      <w:lvlJc w:val="left"/>
      <w:pPr>
        <w:tabs>
          <w:tab w:val="num" w:pos="0"/>
        </w:tabs>
        <w:ind w:left="3480" w:hanging="1800"/>
      </w:pPr>
    </w:lvl>
  </w:abstractNum>
  <w:abstractNum w:abstractNumId="6" w15:restartNumberingAfterBreak="0">
    <w:nsid w:val="65146D03"/>
    <w:multiLevelType w:val="multilevel"/>
    <w:tmpl w:val="D3E474FC"/>
    <w:lvl w:ilvl="0">
      <w:start w:val="7"/>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1571"/>
        </w:tabs>
        <w:ind w:left="1571"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2"/>
  </w:num>
  <w:num w:numId="2">
    <w:abstractNumId w:val="1"/>
  </w:num>
  <w:num w:numId="3">
    <w:abstractNumId w:val="5"/>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9"/>
  <w:autoHyphenation/>
  <w:hyphenationZone w:val="0"/>
  <w:characterSpacingControl w:val="doNotCompres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2705"/>
    <w:rsid w:val="003021DA"/>
    <w:rsid w:val="006A55C0"/>
    <w:rsid w:val="006F524C"/>
    <w:rsid w:val="00931873"/>
    <w:rsid w:val="0095785E"/>
    <w:rsid w:val="00BA2705"/>
    <w:rsid w:val="00C86B07"/>
    <w:rsid w:val="00F77D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264D8"/>
  <w15:docId w15:val="{228CC774-0F93-47E5-B64B-98895451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oto Serif CJK SC" w:hAnsi="Liberation Serif" w:cs="Lohit Devanagari"/>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rFonts w:ascii="Times New Roman" w:eastAsia="Times New Roman" w:hAnsi="Times New Roman" w:cs="Times New Roman"/>
      <w:sz w:val="24"/>
      <w:szCs w:val="24"/>
      <w:lang w:eastAsia="zh-CN"/>
    </w:rPr>
  </w:style>
  <w:style w:type="paragraph" w:styleId="Heading1">
    <w:name w:val="heading 1"/>
    <w:basedOn w:val="Normal"/>
    <w:next w:val="Normal"/>
    <w:uiPriority w:val="9"/>
    <w:qFormat/>
    <w:pPr>
      <w:keepNext/>
      <w:numPr>
        <w:numId w:val="1"/>
      </w:numPr>
      <w:spacing w:before="240" w:after="60"/>
      <w:outlineLvl w:val="0"/>
    </w:pPr>
    <w:rPr>
      <w:rFonts w:ascii="Calibri Light" w:hAnsi="Calibri Light"/>
      <w:b/>
      <w:bCs/>
      <w:kern w:val="2"/>
      <w:sz w:val="32"/>
      <w:szCs w:val="32"/>
    </w:rPr>
  </w:style>
  <w:style w:type="paragraph" w:styleId="Heading2">
    <w:name w:val="heading 2"/>
    <w:basedOn w:val="Normal"/>
    <w:next w:val="Normal"/>
    <w:uiPriority w:val="9"/>
    <w:unhideWhenUsed/>
    <w:qFormat/>
    <w:pPr>
      <w:keepNext/>
      <w:numPr>
        <w:ilvl w:val="1"/>
        <w:numId w:val="1"/>
      </w:numPr>
      <w:spacing w:before="240" w:after="60"/>
      <w:outlineLvl w:val="1"/>
    </w:pPr>
    <w:rPr>
      <w:rFonts w:ascii="Calibri Light" w:hAnsi="Calibri Light" w:cs="DokChampa"/>
      <w:b/>
      <w:bCs/>
      <w:i/>
      <w:iCs/>
      <w:sz w:val="28"/>
      <w:szCs w:val="28"/>
    </w:rPr>
  </w:style>
  <w:style w:type="paragraph" w:styleId="Heading3">
    <w:name w:val="heading 3"/>
    <w:basedOn w:val="Normal"/>
    <w:next w:val="Normal"/>
    <w:uiPriority w:val="9"/>
    <w:unhideWhenUsed/>
    <w:qFormat/>
    <w:pPr>
      <w:keepNext/>
      <w:numPr>
        <w:numId w:val="7"/>
      </w:numPr>
      <w:jc w:val="center"/>
      <w:outlineLvl w:val="2"/>
    </w:pPr>
    <w:rPr>
      <w:sz w:val="28"/>
      <w:szCs w:val="20"/>
    </w:rPr>
  </w:style>
  <w:style w:type="paragraph" w:styleId="Heading4">
    <w:name w:val="heading 4"/>
    <w:basedOn w:val="Normal"/>
    <w:next w:val="Normal"/>
    <w:uiPriority w:val="9"/>
    <w:unhideWhenUsed/>
    <w:qFormat/>
    <w:pPr>
      <w:keepNext/>
      <w:numPr>
        <w:ilvl w:val="3"/>
        <w:numId w:val="1"/>
      </w:numPr>
      <w:spacing w:before="240" w:after="60"/>
      <w:outlineLvl w:val="3"/>
    </w:pPr>
    <w:rPr>
      <w:rFonts w:ascii="Calibri" w:hAnsi="Calibri" w:cs="DokChampa"/>
      <w:b/>
      <w:bCs/>
      <w:sz w:val="28"/>
      <w:szCs w:val="28"/>
    </w:rPr>
  </w:style>
  <w:style w:type="paragraph" w:styleId="Heading7">
    <w:name w:val="heading 7"/>
    <w:basedOn w:val="Normal"/>
    <w:next w:val="Normal"/>
    <w:qFormat/>
    <w:pPr>
      <w:keepNext/>
      <w:tabs>
        <w:tab w:val="num" w:pos="1260"/>
      </w:tabs>
      <w:ind w:left="1260" w:hanging="360"/>
      <w:jc w:val="right"/>
      <w:outlineLvl w:val="6"/>
    </w:pPr>
    <w:rPr>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qFormat/>
    <w:rPr>
      <w:rFonts w:ascii="Wingdings" w:hAnsi="Wingdings" w:cs="Wingdings"/>
    </w:rPr>
  </w:style>
  <w:style w:type="character" w:customStyle="1" w:styleId="WW8Num3z0">
    <w:name w:val="WW8Num3z0"/>
    <w:qFormat/>
    <w:rPr>
      <w:rFonts w:ascii="Times New Roman" w:hAnsi="Times New Roman" w:cs="Times New Roman"/>
      <w:sz w:val="24"/>
      <w:szCs w:val="24"/>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1">
    <w:name w:val="WW8Num4z1"/>
    <w:qFormat/>
    <w:rPr>
      <w:rFonts w:ascii="Times New Roman" w:hAnsi="Times New Roman" w:cs="Times New Roman"/>
      <w:color w:val="000000"/>
      <w:sz w:val="28"/>
      <w:szCs w:val="28"/>
      <w:lang w:val="lv-LV"/>
    </w:rPr>
  </w:style>
  <w:style w:type="character" w:customStyle="1" w:styleId="WW8Num4z2">
    <w:name w:val="WW8Num4z2"/>
    <w:qFormat/>
    <w:rPr>
      <w:rFonts w:ascii="Times New Roman" w:hAnsi="Times New Roman" w:cs="Times New Roman"/>
      <w:strike w:val="0"/>
      <w:dstrike w:val="0"/>
      <w:color w:val="000000"/>
      <w:sz w:val="28"/>
      <w:szCs w:val="28"/>
      <w:lang w:val="lv-LV"/>
    </w:rPr>
  </w:style>
  <w:style w:type="character" w:customStyle="1" w:styleId="WW8Num4z3">
    <w:name w:val="WW8Num4z3"/>
    <w:qFormat/>
    <w:rPr>
      <w:rFonts w:ascii="Times New Roman" w:hAnsi="Times New Roman" w:cs="Times New Roman"/>
      <w:sz w:val="28"/>
      <w:szCs w:val="28"/>
      <w:lang w:val="lv-LV"/>
    </w:rPr>
  </w:style>
  <w:style w:type="character" w:customStyle="1" w:styleId="WW8Num5z1">
    <w:name w:val="WW8Num5z1"/>
    <w:qFormat/>
    <w:rPr>
      <w:b w:val="0"/>
      <w:bCs/>
      <w:color w:val="000000"/>
    </w:rPr>
  </w:style>
  <w:style w:type="character" w:customStyle="1" w:styleId="WW8Num6z1">
    <w:name w:val="WW8Num6z1"/>
    <w:qFormat/>
    <w:rPr>
      <w:rFonts w:ascii="Times New Roman" w:hAnsi="Times New Roman" w:cs="Times New Roman"/>
      <w:b w:val="0"/>
      <w:color w:val="000000"/>
      <w:sz w:val="28"/>
      <w:szCs w:val="28"/>
      <w:lang w:val="lv-LV" w:eastAsia="en-US"/>
    </w:rPr>
  </w:style>
  <w:style w:type="character" w:customStyle="1" w:styleId="WW8Num6z2">
    <w:name w:val="WW8Num6z2"/>
    <w:qFormat/>
    <w:rPr>
      <w:rFonts w:ascii="Times New Roman" w:hAnsi="Times New Roman" w:cs="Times New Roman"/>
      <w:i w:val="0"/>
      <w:sz w:val="28"/>
      <w:szCs w:val="28"/>
      <w:shd w:val="clear" w:color="auto" w:fill="FFFFFF"/>
      <w:lang w:val="lv-LV" w:eastAsia="en-US"/>
    </w:rPr>
  </w:style>
  <w:style w:type="character" w:customStyle="1" w:styleId="WW8Num7z0">
    <w:name w:val="WW8Num7z0"/>
    <w:qFormat/>
    <w:rPr>
      <w:rFonts w:ascii="Times New Roman" w:hAnsi="Times New Roman" w:cs="Times New Roman"/>
      <w:sz w:val="28"/>
      <w:szCs w:val="28"/>
    </w:rPr>
  </w:style>
  <w:style w:type="character" w:customStyle="1" w:styleId="WW8Num8z1">
    <w:name w:val="WW8Num8z1"/>
    <w:qFormat/>
    <w:rPr>
      <w:sz w:val="28"/>
      <w:szCs w:val="28"/>
    </w:rPr>
  </w:style>
  <w:style w:type="character" w:customStyle="1" w:styleId="WW8Num9z0">
    <w:name w:val="WW8Num9z0"/>
    <w:qFormat/>
    <w:rPr>
      <w:sz w:val="24"/>
      <w:szCs w:val="24"/>
    </w:rPr>
  </w:style>
  <w:style w:type="character" w:customStyle="1" w:styleId="WW8Num10z0">
    <w:name w:val="WW8Num10z0"/>
    <w:qFormat/>
  </w:style>
  <w:style w:type="character" w:customStyle="1" w:styleId="WW8Num11z0">
    <w:name w:val="WW8Num11z0"/>
    <w:qFormat/>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6z1">
    <w:name w:val="WW8Num16z1"/>
    <w:qFormat/>
    <w:rPr>
      <w:rFonts w:ascii="Times New Roman" w:hAnsi="Times New Roman" w:cs="Times New Roman"/>
      <w:sz w:val="24"/>
      <w:szCs w:val="24"/>
    </w:rPr>
  </w:style>
  <w:style w:type="character" w:customStyle="1" w:styleId="WW8Num17z0">
    <w:name w:val="WW8Num17z0"/>
    <w:qFormat/>
  </w:style>
  <w:style w:type="character" w:customStyle="1" w:styleId="WW8Num17z1">
    <w:name w:val="WW8Num17z1"/>
    <w:qFormat/>
    <w:rPr>
      <w:color w:val="000000"/>
    </w:rPr>
  </w:style>
  <w:style w:type="character" w:customStyle="1" w:styleId="WW8Num17z2">
    <w:name w:val="WW8Num17z2"/>
    <w:qFormat/>
    <w:rPr>
      <w:strike w:val="0"/>
      <w:dstrike w:val="0"/>
      <w:color w:val="000000"/>
    </w:rPr>
  </w:style>
  <w:style w:type="character" w:customStyle="1" w:styleId="WW8Num18z0">
    <w:name w:val="WW8Num18z0"/>
    <w:qFormat/>
  </w:style>
  <w:style w:type="character" w:customStyle="1" w:styleId="WW8Num19z0">
    <w:name w:val="WW8Num19z0"/>
    <w:qFormat/>
    <w:rPr>
      <w:rFonts w:ascii="Times New Roman" w:eastAsia="Times New Roman" w:hAnsi="Times New Roman" w:cs="Times New Roman"/>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19z3">
    <w:name w:val="WW8Num19z3"/>
    <w:qFormat/>
    <w:rPr>
      <w:rFonts w:ascii="Symbol" w:hAnsi="Symbol" w:cs="Symbol"/>
    </w:rPr>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b w:val="0"/>
    </w:rPr>
  </w:style>
  <w:style w:type="character" w:customStyle="1" w:styleId="WW8Num23z0">
    <w:name w:val="WW8Num23z0"/>
    <w:qFormat/>
    <w:rPr>
      <w:b/>
    </w:rPr>
  </w:style>
  <w:style w:type="character" w:customStyle="1" w:styleId="WW8Num23z1">
    <w:name w:val="WW8Num23z1"/>
    <w:qFormat/>
  </w:style>
  <w:style w:type="character" w:customStyle="1" w:styleId="WW8Num24z0">
    <w:name w:val="WW8Num24z0"/>
    <w:qFormat/>
  </w:style>
  <w:style w:type="character" w:customStyle="1" w:styleId="WW8Num25z0">
    <w:name w:val="WW8Num25z0"/>
    <w:qFormat/>
  </w:style>
  <w:style w:type="character" w:customStyle="1" w:styleId="WW8Num26z0">
    <w:name w:val="WW8Num26z0"/>
    <w:qFormat/>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b/>
    </w:rPr>
  </w:style>
  <w:style w:type="character" w:customStyle="1" w:styleId="WW8Num28z1">
    <w:name w:val="WW8Num28z1"/>
    <w:qFormat/>
    <w:rPr>
      <w:sz w:val="24"/>
      <w:szCs w:val="24"/>
    </w:rPr>
  </w:style>
  <w:style w:type="character" w:customStyle="1" w:styleId="WW8Num28z2">
    <w:name w:val="WW8Num28z2"/>
    <w:qFormat/>
    <w:rPr>
      <w:b w:val="0"/>
      <w:sz w:val="24"/>
      <w:szCs w:val="24"/>
    </w:rPr>
  </w:style>
  <w:style w:type="character" w:customStyle="1" w:styleId="WW8Num28z3">
    <w:name w:val="WW8Num28z3"/>
    <w:qFormat/>
    <w:rPr>
      <w:b w:val="0"/>
    </w:rPr>
  </w:style>
  <w:style w:type="character" w:customStyle="1" w:styleId="WW8Num29z0">
    <w:name w:val="WW8Num29z0"/>
    <w:qFormat/>
  </w:style>
  <w:style w:type="character" w:customStyle="1" w:styleId="WW8Num29z1">
    <w:name w:val="WW8Num29z1"/>
    <w:qFormat/>
    <w:rPr>
      <w:color w:val="000000"/>
    </w:rPr>
  </w:style>
  <w:style w:type="character" w:customStyle="1" w:styleId="WW8Num30z0">
    <w:name w:val="WW8Num30z0"/>
    <w:qFormat/>
    <w:rPr>
      <w:rFonts w:ascii="Symbol" w:hAnsi="Symbol" w:cs="Symbol"/>
      <w:sz w:val="20"/>
    </w:rPr>
  </w:style>
  <w:style w:type="character" w:customStyle="1" w:styleId="WW8Num30z1">
    <w:name w:val="WW8Num30z1"/>
    <w:qFormat/>
    <w:rPr>
      <w:rFonts w:ascii="Courier New" w:hAnsi="Courier New" w:cs="Courier New"/>
      <w:sz w:val="20"/>
    </w:rPr>
  </w:style>
  <w:style w:type="character" w:customStyle="1" w:styleId="WW8Num30z2">
    <w:name w:val="WW8Num30z2"/>
    <w:qFormat/>
    <w:rPr>
      <w:rFonts w:ascii="Wingdings" w:hAnsi="Wingdings" w:cs="Wingdings"/>
      <w:sz w:val="20"/>
    </w:rPr>
  </w:style>
  <w:style w:type="character" w:customStyle="1" w:styleId="WW8Num31z0">
    <w:name w:val="WW8Num31z0"/>
    <w:qFormat/>
  </w:style>
  <w:style w:type="character" w:customStyle="1" w:styleId="WW8Num32z0">
    <w:name w:val="WW8Num32z0"/>
    <w:qFormat/>
  </w:style>
  <w:style w:type="character" w:customStyle="1" w:styleId="WW8Num33z0">
    <w:name w:val="WW8Num33z0"/>
    <w:qFormat/>
  </w:style>
  <w:style w:type="character" w:customStyle="1" w:styleId="WW8Num34z0">
    <w:name w:val="WW8Num34z0"/>
    <w:qFormat/>
  </w:style>
  <w:style w:type="character" w:customStyle="1" w:styleId="WW8Num35z0">
    <w:name w:val="WW8Num35z0"/>
    <w:qFormat/>
    <w:rPr>
      <w:sz w:val="24"/>
    </w:rPr>
  </w:style>
  <w:style w:type="character" w:customStyle="1" w:styleId="WW8Num36z0">
    <w:name w:val="WW8Num36z0"/>
    <w:qFormat/>
  </w:style>
  <w:style w:type="character" w:customStyle="1" w:styleId="WW8Num37z0">
    <w:name w:val="WW8Num37z0"/>
    <w:qFormat/>
    <w:rPr>
      <w:b/>
    </w:rPr>
  </w:style>
  <w:style w:type="character" w:customStyle="1" w:styleId="WW8Num37z1">
    <w:name w:val="WW8Num37z1"/>
    <w:qFormat/>
  </w:style>
  <w:style w:type="character" w:customStyle="1" w:styleId="WW8Num38z0">
    <w:name w:val="WW8Num38z0"/>
    <w:qFormat/>
    <w:rPr>
      <w:b/>
      <w:color w:val="000000"/>
    </w:rPr>
  </w:style>
  <w:style w:type="character" w:customStyle="1" w:styleId="WW8Num39z0">
    <w:name w:val="WW8Num39z0"/>
    <w:qFormat/>
  </w:style>
  <w:style w:type="character" w:customStyle="1" w:styleId="WW8Num40z0">
    <w:name w:val="WW8Num40z0"/>
    <w:qFormat/>
  </w:style>
  <w:style w:type="character" w:customStyle="1" w:styleId="WW8Num41z0">
    <w:name w:val="WW8Num41z0"/>
    <w:qFormat/>
    <w:rPr>
      <w:rFonts w:ascii="Times New Roman" w:eastAsia="Times New Roman" w:hAnsi="Times New Roman" w:cs="Times New Roman"/>
    </w:rPr>
  </w:style>
  <w:style w:type="character" w:customStyle="1" w:styleId="WW8Num41z1">
    <w:name w:val="WW8Num41z1"/>
    <w:qFormat/>
    <w:rPr>
      <w:rFonts w:ascii="Courier New" w:hAnsi="Courier New" w:cs="Courier New"/>
    </w:rPr>
  </w:style>
  <w:style w:type="character" w:customStyle="1" w:styleId="WW8Num41z2">
    <w:name w:val="WW8Num41z2"/>
    <w:qFormat/>
    <w:rPr>
      <w:rFonts w:ascii="Wingdings" w:hAnsi="Wingdings" w:cs="Wingdings"/>
    </w:rPr>
  </w:style>
  <w:style w:type="character" w:customStyle="1" w:styleId="WW8Num41z3">
    <w:name w:val="WW8Num41z3"/>
    <w:qFormat/>
    <w:rPr>
      <w:rFonts w:ascii="Symbol" w:hAnsi="Symbol" w:cs="Symbol"/>
    </w:rPr>
  </w:style>
  <w:style w:type="character" w:customStyle="1" w:styleId="WW8Num42z0">
    <w:name w:val="WW8Num42z0"/>
    <w:qFormat/>
  </w:style>
  <w:style w:type="character" w:customStyle="1" w:styleId="WW8Num43z0">
    <w:name w:val="WW8Num43z0"/>
    <w:qFormat/>
    <w:rPr>
      <w:b/>
    </w:rPr>
  </w:style>
  <w:style w:type="character" w:customStyle="1" w:styleId="WW8Num43z1">
    <w:name w:val="WW8Num43z1"/>
    <w:qFormat/>
    <w:rPr>
      <w:b w:val="0"/>
      <w:sz w:val="24"/>
      <w:szCs w:val="24"/>
    </w:rPr>
  </w:style>
  <w:style w:type="character" w:customStyle="1" w:styleId="WW8Num43z2">
    <w:name w:val="WW8Num43z2"/>
    <w:qFormat/>
    <w:rPr>
      <w:b w:val="0"/>
      <w:i w:val="0"/>
    </w:rPr>
  </w:style>
  <w:style w:type="character" w:customStyle="1" w:styleId="WW8Num43z3">
    <w:name w:val="WW8Num43z3"/>
    <w:qFormat/>
    <w:rPr>
      <w:b w:val="0"/>
    </w:rPr>
  </w:style>
  <w:style w:type="character" w:customStyle="1" w:styleId="WW8Num44z0">
    <w:name w:val="WW8Num44z0"/>
    <w:qFormat/>
  </w:style>
  <w:style w:type="character" w:customStyle="1" w:styleId="WW8Num45z0">
    <w:name w:val="WW8Num45z0"/>
    <w:qFormat/>
  </w:style>
  <w:style w:type="character" w:customStyle="1" w:styleId="WW8Num46z0">
    <w:name w:val="WW8Num46z0"/>
    <w:qFormat/>
  </w:style>
  <w:style w:type="character" w:customStyle="1" w:styleId="WW8Num47z0">
    <w:name w:val="WW8Num47z0"/>
    <w:qFormat/>
  </w:style>
  <w:style w:type="character" w:customStyle="1" w:styleId="WW8Num47z1">
    <w:name w:val="WW8Num47z1"/>
    <w:qFormat/>
    <w:rPr>
      <w:sz w:val="28"/>
      <w:szCs w:val="28"/>
    </w:rPr>
  </w:style>
  <w:style w:type="character" w:customStyle="1" w:styleId="WW8Num47z2">
    <w:name w:val="WW8Num47z2"/>
    <w:qFormat/>
    <w:rPr>
      <w:color w:val="000000"/>
      <w:sz w:val="28"/>
      <w:szCs w:val="28"/>
    </w:rPr>
  </w:style>
  <w:style w:type="character" w:customStyle="1" w:styleId="WW8Num48z0">
    <w:name w:val="WW8Num48z0"/>
    <w:qFormat/>
    <w:rPr>
      <w:rFonts w:eastAsia="Times New Roman"/>
    </w:rPr>
  </w:style>
  <w:style w:type="character" w:customStyle="1" w:styleId="WW8Num49z0">
    <w:name w:val="WW8Num49z0"/>
    <w:qFormat/>
    <w:rPr>
      <w:rFonts w:ascii="Times New Roman" w:hAnsi="Times New Roman" w:cs="Times New Roman"/>
      <w:i w:val="0"/>
      <w:sz w:val="24"/>
      <w:szCs w:val="24"/>
    </w:rPr>
  </w:style>
  <w:style w:type="character" w:customStyle="1" w:styleId="WW8Num49z1">
    <w:name w:val="WW8Num49z1"/>
    <w:qFormat/>
    <w:rPr>
      <w:rFonts w:cs="Times New Roman"/>
      <w:b w:val="0"/>
    </w:rPr>
  </w:style>
  <w:style w:type="character" w:customStyle="1" w:styleId="WW8Num49z3">
    <w:name w:val="WW8Num49z3"/>
    <w:qFormat/>
    <w:rPr>
      <w:rFonts w:cs="Times New Roman"/>
    </w:rPr>
  </w:style>
  <w:style w:type="character" w:customStyle="1" w:styleId="WW8Num50z0">
    <w:name w:val="WW8Num50z0"/>
    <w:qFormat/>
  </w:style>
  <w:style w:type="character" w:styleId="PageNumber">
    <w:name w:val="page number"/>
    <w:basedOn w:val="DefaultParagraphFont"/>
  </w:style>
  <w:style w:type="character" w:styleId="Hyperlink">
    <w:name w:val="Hyperlink"/>
    <w:rPr>
      <w:color w:val="0000FF"/>
      <w:u w:val="single"/>
    </w:rPr>
  </w:style>
  <w:style w:type="character" w:customStyle="1" w:styleId="FootnoteCharacters">
    <w:name w:val="Footnote Characters"/>
    <w:qFormat/>
    <w:rPr>
      <w:vertAlign w:val="superscript"/>
    </w:rPr>
  </w:style>
  <w:style w:type="character" w:customStyle="1" w:styleId="FootnoteReference1">
    <w:name w:val="Footnote Reference1"/>
    <w:qFormat/>
    <w:rPr>
      <w:vertAlign w:val="superscript"/>
    </w:rPr>
  </w:style>
  <w:style w:type="character" w:customStyle="1" w:styleId="FootnoteTextChar">
    <w:name w:val="Footnote Text Char"/>
    <w:qFormat/>
    <w:rPr>
      <w:lang w:eastAsia="zh-CN"/>
    </w:rPr>
  </w:style>
  <w:style w:type="character" w:customStyle="1" w:styleId="HeaderChar">
    <w:name w:val="Header Char"/>
    <w:qFormat/>
    <w:rPr>
      <w:sz w:val="24"/>
      <w:szCs w:val="24"/>
    </w:rPr>
  </w:style>
  <w:style w:type="character" w:customStyle="1" w:styleId="hps">
    <w:name w:val="hps"/>
    <w:basedOn w:val="DefaultParagraphFont"/>
    <w:qFormat/>
  </w:style>
  <w:style w:type="character" w:customStyle="1" w:styleId="BalloonTextChar">
    <w:name w:val="Balloon Text Char"/>
    <w:qFormat/>
    <w:rPr>
      <w:rFonts w:ascii="Segoe UI" w:hAnsi="Segoe UI" w:cs="Segoe UI"/>
      <w:sz w:val="18"/>
      <w:szCs w:val="18"/>
    </w:rPr>
  </w:style>
  <w:style w:type="character" w:customStyle="1" w:styleId="BodyTextIndent3Char">
    <w:name w:val="Body Text Indent 3 Char"/>
    <w:qFormat/>
    <w:rPr>
      <w:sz w:val="16"/>
      <w:szCs w:val="16"/>
      <w:lang w:val="lv-LV"/>
    </w:rPr>
  </w:style>
  <w:style w:type="character" w:customStyle="1" w:styleId="BodyTextChar">
    <w:name w:val="Body Text Char"/>
    <w:qFormat/>
    <w:rPr>
      <w:sz w:val="24"/>
      <w:szCs w:val="24"/>
      <w:lang w:val="lv-LV"/>
    </w:rPr>
  </w:style>
  <w:style w:type="character" w:customStyle="1" w:styleId="BodyTextIndentChar">
    <w:name w:val="Body Text Indent Char"/>
    <w:qFormat/>
    <w:rPr>
      <w:sz w:val="24"/>
      <w:szCs w:val="24"/>
      <w:lang w:val="ru-RU"/>
    </w:rPr>
  </w:style>
  <w:style w:type="character" w:customStyle="1" w:styleId="FontStyle21">
    <w:name w:val="Font Style21"/>
    <w:qFormat/>
    <w:rPr>
      <w:rFonts w:ascii="Times New Roman" w:hAnsi="Times New Roman" w:cs="Times New Roman"/>
      <w:b/>
      <w:sz w:val="22"/>
    </w:rPr>
  </w:style>
  <w:style w:type="character" w:customStyle="1" w:styleId="FooterChar">
    <w:name w:val="Footer Char"/>
    <w:qFormat/>
    <w:rPr>
      <w:sz w:val="24"/>
      <w:szCs w:val="24"/>
      <w:lang w:val="lv-LV"/>
    </w:rPr>
  </w:style>
  <w:style w:type="character" w:customStyle="1" w:styleId="Heading3Char">
    <w:name w:val="Heading 3 Char"/>
    <w:qFormat/>
    <w:rPr>
      <w:sz w:val="28"/>
      <w:lang w:val="lv-LV" w:eastAsia="zh-CN"/>
    </w:rPr>
  </w:style>
  <w:style w:type="character" w:customStyle="1" w:styleId="Heading7Char">
    <w:name w:val="Heading 7 Char"/>
    <w:qFormat/>
    <w:rPr>
      <w:sz w:val="28"/>
      <w:lang w:val="lv-LV" w:eastAsia="zh-CN"/>
    </w:rPr>
  </w:style>
  <w:style w:type="character" w:customStyle="1" w:styleId="WW8Num1z0">
    <w:name w:val="WW8Num1z0"/>
    <w:qFormat/>
    <w:rPr>
      <w:rFonts w:ascii="Wingdings" w:hAnsi="Wingdings" w:cs="Wingdings"/>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DefaultParagraphFont1">
    <w:name w:val="Default Paragraph Font1"/>
    <w:qFormat/>
  </w:style>
  <w:style w:type="character" w:customStyle="1" w:styleId="WW8Num4z0">
    <w:name w:val="WW8Num4z0"/>
    <w:qFormat/>
    <w:rPr>
      <w:rFonts w:ascii="Wingdings" w:hAnsi="Wingdings" w:cs="Wingdings"/>
      <w:sz w:val="24"/>
      <w:szCs w:val="24"/>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Arial" w:eastAsia="Times New Roman" w:hAnsi="Arial" w:cs="Arial"/>
      <w:sz w:val="18"/>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DefaultParagraphFont">
    <w:name w:val="WW-Default Paragraph Font"/>
    <w:qFormat/>
  </w:style>
  <w:style w:type="character" w:customStyle="1" w:styleId="WW-DefaultParagraphFont1">
    <w:name w:val="WW-Default Paragraph Font1"/>
    <w:qFormat/>
  </w:style>
  <w:style w:type="character" w:customStyle="1" w:styleId="shorttext">
    <w:name w:val="short_text"/>
    <w:qFormat/>
  </w:style>
  <w:style w:type="character" w:customStyle="1" w:styleId="CommentReference1">
    <w:name w:val="Comment Reference1"/>
    <w:qFormat/>
    <w:rPr>
      <w:sz w:val="16"/>
      <w:szCs w:val="16"/>
    </w:rPr>
  </w:style>
  <w:style w:type="character" w:customStyle="1" w:styleId="hpsalt-edited">
    <w:name w:val="hps alt-edited"/>
    <w:qFormat/>
  </w:style>
  <w:style w:type="character" w:customStyle="1" w:styleId="c8">
    <w:name w:val="c8"/>
    <w:qFormat/>
  </w:style>
  <w:style w:type="character" w:styleId="Emphasis">
    <w:name w:val="Emphasis"/>
    <w:qFormat/>
    <w:rPr>
      <w:i/>
      <w:iCs/>
    </w:rPr>
  </w:style>
  <w:style w:type="character" w:customStyle="1" w:styleId="mw-headline2">
    <w:name w:val="mw-headline2"/>
    <w:qFormat/>
  </w:style>
  <w:style w:type="character" w:styleId="Strong">
    <w:name w:val="Strong"/>
    <w:qFormat/>
    <w:rPr>
      <w:b/>
      <w:bCs/>
    </w:rPr>
  </w:style>
  <w:style w:type="character" w:customStyle="1" w:styleId="st1">
    <w:name w:val="st1"/>
    <w:qFormat/>
  </w:style>
  <w:style w:type="character" w:customStyle="1" w:styleId="nobr1">
    <w:name w:val="nobr1"/>
    <w:qFormat/>
  </w:style>
  <w:style w:type="character" w:customStyle="1" w:styleId="apple-converted-space">
    <w:name w:val="apple-converted-space"/>
    <w:qFormat/>
  </w:style>
  <w:style w:type="character" w:styleId="CommentReference">
    <w:name w:val="annotation reference"/>
    <w:qFormat/>
    <w:rPr>
      <w:sz w:val="16"/>
      <w:szCs w:val="16"/>
    </w:rPr>
  </w:style>
  <w:style w:type="character" w:customStyle="1" w:styleId="CommentTextChar">
    <w:name w:val="Comment Text Char"/>
    <w:qFormat/>
    <w:rPr>
      <w:lang w:val="lv-LV" w:eastAsia="zh-CN"/>
    </w:rPr>
  </w:style>
  <w:style w:type="character" w:customStyle="1" w:styleId="CommentSubjectChar">
    <w:name w:val="Comment Subject Char"/>
    <w:qFormat/>
    <w:rPr>
      <w:b/>
      <w:bCs/>
      <w:lang w:val="lv-LV" w:eastAsia="zh-CN"/>
    </w:rPr>
  </w:style>
  <w:style w:type="character" w:customStyle="1" w:styleId="HTMLPreformattedChar">
    <w:name w:val="HTML Preformatted Char"/>
    <w:qFormat/>
    <w:rPr>
      <w:rFonts w:ascii="Courier New" w:hAnsi="Courier New" w:cs="Courier New"/>
      <w:lang w:val="lv-LV" w:eastAsia="zh-CN"/>
    </w:rPr>
  </w:style>
  <w:style w:type="character" w:customStyle="1" w:styleId="BodyTextIndent2Char">
    <w:name w:val="Body Text Indent 2 Char"/>
    <w:qFormat/>
    <w:rPr>
      <w:sz w:val="24"/>
      <w:szCs w:val="24"/>
      <w:lang w:val="lv-LV"/>
    </w:rPr>
  </w:style>
  <w:style w:type="character" w:customStyle="1" w:styleId="Heading1Char">
    <w:name w:val="Heading 1 Char"/>
    <w:qFormat/>
    <w:rPr>
      <w:rFonts w:ascii="Calibri Light" w:eastAsia="Times New Roman" w:hAnsi="Calibri Light" w:cs="Times New Roman"/>
      <w:b/>
      <w:bCs/>
      <w:kern w:val="2"/>
      <w:sz w:val="32"/>
      <w:szCs w:val="32"/>
    </w:rPr>
  </w:style>
  <w:style w:type="character" w:customStyle="1" w:styleId="ListParagraphChar">
    <w:name w:val="List Paragraph Char"/>
    <w:qFormat/>
    <w:rPr>
      <w:sz w:val="24"/>
      <w:szCs w:val="24"/>
    </w:rPr>
  </w:style>
  <w:style w:type="character" w:customStyle="1" w:styleId="TitleChar">
    <w:name w:val="Title Char"/>
    <w:qFormat/>
    <w:rPr>
      <w:rFonts w:ascii="Calibri Light" w:eastAsia="Times New Roman" w:hAnsi="Calibri Light" w:cs="Times New Roman"/>
      <w:b/>
      <w:bCs/>
      <w:kern w:val="2"/>
      <w:sz w:val="32"/>
      <w:szCs w:val="32"/>
    </w:rPr>
  </w:style>
  <w:style w:type="character" w:customStyle="1" w:styleId="revision1">
    <w:name w:val="revision1"/>
    <w:qFormat/>
    <w:rPr>
      <w:rFonts w:ascii="Arial" w:hAnsi="Arial" w:cs="Arial"/>
      <w:i w:val="0"/>
      <w:iCs w:val="0"/>
    </w:rPr>
  </w:style>
  <w:style w:type="character" w:customStyle="1" w:styleId="Heading4Char">
    <w:name w:val="Heading 4 Char"/>
    <w:qFormat/>
    <w:rPr>
      <w:rFonts w:ascii="Calibri" w:eastAsia="Times New Roman" w:hAnsi="Calibri" w:cs="DokChampa"/>
      <w:b/>
      <w:bCs/>
      <w:sz w:val="28"/>
      <w:szCs w:val="28"/>
      <w:lang w:bidi="ar-SA"/>
    </w:rPr>
  </w:style>
  <w:style w:type="character" w:customStyle="1" w:styleId="BodyText2Char">
    <w:name w:val="Body Text 2 Char"/>
    <w:qFormat/>
    <w:rPr>
      <w:sz w:val="24"/>
      <w:szCs w:val="24"/>
      <w:lang w:bidi="ar-SA"/>
    </w:rPr>
  </w:style>
  <w:style w:type="character" w:customStyle="1" w:styleId="Heading2Char">
    <w:name w:val="Heading 2 Char"/>
    <w:qFormat/>
    <w:rPr>
      <w:rFonts w:ascii="Calibri Light" w:eastAsia="Times New Roman" w:hAnsi="Calibri Light" w:cs="DokChampa"/>
      <w:b/>
      <w:bCs/>
      <w:i/>
      <w:iCs/>
      <w:sz w:val="28"/>
      <w:szCs w:val="28"/>
      <w:lang w:bidi="ar-SA"/>
    </w:rPr>
  </w:style>
  <w:style w:type="character" w:styleId="UnresolvedMention">
    <w:name w:val="Unresolved Mention"/>
    <w:qFormat/>
    <w:rPr>
      <w:color w:val="605E5C"/>
      <w:shd w:val="clear" w:color="auto" w:fill="E1DFDD"/>
    </w:rPr>
  </w:style>
  <w:style w:type="character" w:customStyle="1" w:styleId="highlight">
    <w:name w:val="highlight"/>
    <w:qFormat/>
  </w:style>
  <w:style w:type="character" w:customStyle="1" w:styleId="whitespace-normal">
    <w:name w:val="whitespace-normal"/>
    <w:qFormat/>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Arial" w:eastAsia="Lucida Sans Unicode" w:hAnsi="Arial" w:cs="Mangal"/>
      <w:sz w:val="28"/>
      <w:szCs w:val="28"/>
    </w:rPr>
  </w:style>
  <w:style w:type="paragraph" w:styleId="BodyText">
    <w:name w:val="Body Text"/>
    <w:basedOn w:val="Normal"/>
    <w:pPr>
      <w:jc w:val="both"/>
    </w:pPr>
  </w:style>
  <w:style w:type="paragraph" w:styleId="List">
    <w:name w:val="List"/>
    <w:basedOn w:val="BodyText"/>
    <w:pPr>
      <w:spacing w:after="120"/>
      <w:jc w:val="left"/>
    </w:pPr>
    <w:rPr>
      <w:rFonts w:cs="Mangal"/>
      <w:sz w:val="20"/>
      <w:szCs w:val="20"/>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qFormat/>
    <w:pPr>
      <w:suppressLineNumbers/>
    </w:pPr>
    <w:rPr>
      <w:rFonts w:cs="Mangal"/>
      <w:sz w:val="20"/>
      <w:szCs w:val="20"/>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style>
  <w:style w:type="paragraph" w:customStyle="1" w:styleId="CharChar1">
    <w:name w:val="Char Char1"/>
    <w:basedOn w:val="Normal"/>
    <w:qFormat/>
    <w:pPr>
      <w:spacing w:after="160" w:line="240" w:lineRule="exact"/>
    </w:pPr>
    <w:rPr>
      <w:rFonts w:ascii="Tahoma" w:hAnsi="Tahoma" w:cs="Tahoma"/>
      <w:sz w:val="20"/>
      <w:szCs w:val="20"/>
      <w:lang w:val="en-US"/>
    </w:rPr>
  </w:style>
  <w:style w:type="paragraph" w:styleId="Footer">
    <w:name w:val="footer"/>
    <w:basedOn w:val="Normal"/>
    <w:pPr>
      <w:tabs>
        <w:tab w:val="center" w:pos="4153"/>
        <w:tab w:val="right" w:pos="8306"/>
      </w:tabs>
    </w:pPr>
  </w:style>
  <w:style w:type="paragraph" w:customStyle="1" w:styleId="WW-Index11111">
    <w:name w:val="WW-Index11111"/>
    <w:basedOn w:val="Normal"/>
    <w:qFormat/>
    <w:pPr>
      <w:suppressLineNumbers/>
      <w:spacing w:line="480" w:lineRule="auto"/>
      <w:jc w:val="both"/>
    </w:pPr>
    <w:rPr>
      <w:rFonts w:cs="Tahoma"/>
      <w:szCs w:val="20"/>
    </w:rPr>
  </w:style>
  <w:style w:type="paragraph" w:styleId="ListParagraph">
    <w:name w:val="List Paragraph"/>
    <w:basedOn w:val="Normal"/>
    <w:qFormat/>
    <w:pPr>
      <w:ind w:left="720"/>
    </w:pPr>
  </w:style>
  <w:style w:type="paragraph" w:styleId="FootnoteText">
    <w:name w:val="footnote text"/>
    <w:basedOn w:val="Normal"/>
    <w:rPr>
      <w:sz w:val="20"/>
      <w:szCs w:val="20"/>
    </w:rPr>
  </w:style>
  <w:style w:type="paragraph" w:customStyle="1" w:styleId="Text1">
    <w:name w:val="Text 1"/>
    <w:basedOn w:val="Normal"/>
    <w:qFormat/>
    <w:pPr>
      <w:widowControl w:val="0"/>
      <w:spacing w:after="240"/>
      <w:ind w:left="482"/>
      <w:jc w:val="both"/>
    </w:pPr>
    <w:rPr>
      <w:rFonts w:ascii="Arial" w:hAnsi="Arial" w:cs="Arial"/>
      <w:sz w:val="20"/>
      <w:szCs w:val="20"/>
      <w:lang w:val="en-GB"/>
    </w:rPr>
  </w:style>
  <w:style w:type="paragraph" w:styleId="BalloonText">
    <w:name w:val="Balloon Text"/>
    <w:basedOn w:val="Normal"/>
    <w:qFormat/>
    <w:rPr>
      <w:rFonts w:ascii="Segoe UI" w:hAnsi="Segoe UI" w:cs="Segoe UI"/>
      <w:sz w:val="18"/>
      <w:szCs w:val="18"/>
    </w:rPr>
  </w:style>
  <w:style w:type="paragraph" w:styleId="BodyTextIndent3">
    <w:name w:val="Body Text Indent 3"/>
    <w:basedOn w:val="Normal"/>
    <w:qFormat/>
    <w:pPr>
      <w:spacing w:after="120"/>
      <w:ind w:left="283"/>
    </w:pPr>
    <w:rPr>
      <w:sz w:val="16"/>
      <w:szCs w:val="16"/>
    </w:rPr>
  </w:style>
  <w:style w:type="paragraph" w:styleId="BodyTextIndent">
    <w:name w:val="Body Text Indent"/>
    <w:basedOn w:val="Normal"/>
    <w:pPr>
      <w:spacing w:after="120"/>
      <w:ind w:left="283"/>
    </w:pPr>
    <w:rPr>
      <w:lang w:val="ru-RU"/>
    </w:rPr>
  </w:style>
  <w:style w:type="paragraph" w:customStyle="1" w:styleId="WW-DefaultStyle">
    <w:name w:val="WW-Default Style"/>
    <w:qFormat/>
    <w:pPr>
      <w:suppressAutoHyphens/>
      <w:spacing w:line="100" w:lineRule="atLeast"/>
    </w:pPr>
    <w:rPr>
      <w:rFonts w:ascii="Times New Roman" w:eastAsia="Times New Roman" w:hAnsi="Times New Roman" w:cs="Times New Roman"/>
      <w:color w:val="00000A"/>
      <w:sz w:val="24"/>
      <w:szCs w:val="24"/>
      <w:lang w:eastAsia="zh-CN"/>
    </w:rPr>
  </w:style>
  <w:style w:type="paragraph" w:customStyle="1" w:styleId="TextBody">
    <w:name w:val="Text Body"/>
    <w:basedOn w:val="Normal"/>
    <w:qFormat/>
    <w:pPr>
      <w:spacing w:after="120" w:line="100" w:lineRule="atLeast"/>
    </w:pPr>
    <w:rPr>
      <w:color w:val="00000A"/>
    </w:rPr>
  </w:style>
  <w:style w:type="paragraph" w:customStyle="1" w:styleId="BodyText21">
    <w:name w:val="Body Text 21"/>
    <w:basedOn w:val="Normal"/>
    <w:qFormat/>
    <w:pPr>
      <w:jc w:val="both"/>
    </w:pPr>
    <w:rPr>
      <w:sz w:val="20"/>
      <w:szCs w:val="20"/>
    </w:rPr>
  </w:style>
  <w:style w:type="paragraph" w:customStyle="1" w:styleId="BalloonText1">
    <w:name w:val="Balloon Text1"/>
    <w:basedOn w:val="Normal"/>
    <w:qFormat/>
    <w:rPr>
      <w:rFonts w:ascii="Tahoma" w:hAnsi="Tahoma" w:cs="Tahoma"/>
      <w:sz w:val="16"/>
      <w:szCs w:val="16"/>
    </w:rPr>
  </w:style>
  <w:style w:type="paragraph" w:customStyle="1" w:styleId="CharCharCharCharCharCharCharCharCharCharCharCharChar">
    <w:name w:val="Char Char Char Char Char Char Char Char Char Char Char Char Char"/>
    <w:basedOn w:val="Normal"/>
    <w:qFormat/>
    <w:pPr>
      <w:spacing w:after="160" w:line="240" w:lineRule="exact"/>
    </w:pPr>
    <w:rPr>
      <w:rFonts w:ascii="Tahoma" w:hAnsi="Tahoma" w:cs="Tahoma"/>
      <w:sz w:val="20"/>
      <w:szCs w:val="20"/>
      <w:lang w:val="en-US"/>
    </w:rPr>
  </w:style>
  <w:style w:type="paragraph" w:customStyle="1" w:styleId="CommentText1">
    <w:name w:val="Comment Text1"/>
    <w:basedOn w:val="Normal"/>
    <w:qFormat/>
    <w:rPr>
      <w:sz w:val="20"/>
      <w:szCs w:val="20"/>
    </w:rPr>
  </w:style>
  <w:style w:type="paragraph" w:customStyle="1" w:styleId="CommentSubject1">
    <w:name w:val="Comment Subject1"/>
    <w:basedOn w:val="CommentText1"/>
    <w:next w:val="CommentText1"/>
    <w:qFormat/>
    <w:rPr>
      <w:b/>
      <w:bCs/>
    </w:rPr>
  </w:style>
  <w:style w:type="paragraph" w:customStyle="1" w:styleId="Framecontents">
    <w:name w:val="Frame contents"/>
    <w:basedOn w:val="BodyText"/>
    <w:qFormat/>
    <w:pPr>
      <w:spacing w:after="120"/>
      <w:jc w:val="left"/>
    </w:pPr>
    <w:rPr>
      <w:sz w:val="20"/>
      <w:szCs w:val="20"/>
    </w:rPr>
  </w:style>
  <w:style w:type="paragraph" w:customStyle="1" w:styleId="TableContents">
    <w:name w:val="Table Contents"/>
    <w:basedOn w:val="Normal"/>
    <w:qFormat/>
    <w:pPr>
      <w:suppressLineNumbers/>
    </w:pPr>
    <w:rPr>
      <w:sz w:val="20"/>
      <w:szCs w:val="20"/>
    </w:rPr>
  </w:style>
  <w:style w:type="paragraph" w:customStyle="1" w:styleId="TableHeading">
    <w:name w:val="Table Heading"/>
    <w:basedOn w:val="TableContents"/>
    <w:qFormat/>
    <w:pPr>
      <w:jc w:val="center"/>
    </w:pPr>
    <w:rPr>
      <w:b/>
      <w:bCs/>
    </w:rPr>
  </w:style>
  <w:style w:type="paragraph" w:customStyle="1" w:styleId="FrameContents1">
    <w:name w:val="Frame Contents1"/>
    <w:basedOn w:val="Normal"/>
    <w:qFormat/>
    <w:rPr>
      <w:sz w:val="20"/>
      <w:szCs w:val="20"/>
    </w:rPr>
  </w:style>
  <w:style w:type="paragraph" w:styleId="CommentText">
    <w:name w:val="annotation text"/>
    <w:basedOn w:val="Normal"/>
    <w:qFormat/>
    <w:rPr>
      <w:sz w:val="20"/>
      <w:szCs w:val="20"/>
    </w:rPr>
  </w:style>
  <w:style w:type="paragraph" w:styleId="CommentSubject">
    <w:name w:val="annotation subject"/>
    <w:basedOn w:val="CommentText"/>
    <w:next w:val="CommentText"/>
    <w:qFormat/>
    <w:rPr>
      <w:b/>
      <w:bCs/>
    </w:rPr>
  </w:style>
  <w:style w:type="paragraph" w:styleId="HTMLPreformatted">
    <w:name w:val="HTML Preformatted"/>
    <w:basedOn w:val="Normal"/>
    <w:qFormat/>
    <w:rPr>
      <w:rFonts w:ascii="Courier New" w:hAnsi="Courier New" w:cs="Courier New"/>
      <w:sz w:val="20"/>
      <w:szCs w:val="20"/>
    </w:rPr>
  </w:style>
  <w:style w:type="paragraph" w:styleId="BodyTextIndent2">
    <w:name w:val="Body Text Indent 2"/>
    <w:basedOn w:val="Normal"/>
    <w:qFormat/>
    <w:pPr>
      <w:spacing w:after="120" w:line="480" w:lineRule="auto"/>
      <w:ind w:left="283"/>
    </w:pPr>
  </w:style>
  <w:style w:type="paragraph" w:customStyle="1" w:styleId="Style1">
    <w:name w:val="Style1"/>
    <w:basedOn w:val="ListParagraph"/>
    <w:qFormat/>
    <w:pPr>
      <w:numPr>
        <w:numId w:val="4"/>
      </w:numPr>
      <w:tabs>
        <w:tab w:val="left" w:pos="1260"/>
      </w:tabs>
      <w:ind w:left="1260" w:firstLine="0"/>
      <w:contextualSpacing/>
      <w:jc w:val="center"/>
    </w:pPr>
    <w:rPr>
      <w:rFonts w:eastAsia="Calibri"/>
      <w:b/>
    </w:rPr>
  </w:style>
  <w:style w:type="paragraph" w:customStyle="1" w:styleId="Style2">
    <w:name w:val="Style2"/>
    <w:basedOn w:val="ListParagraph"/>
    <w:qFormat/>
    <w:pPr>
      <w:tabs>
        <w:tab w:val="num" w:pos="0"/>
        <w:tab w:val="left" w:pos="1980"/>
      </w:tabs>
      <w:spacing w:before="240"/>
      <w:ind w:left="1980" w:hanging="360"/>
    </w:pPr>
    <w:rPr>
      <w:rFonts w:eastAsia="Calibri"/>
      <w:b/>
    </w:rPr>
  </w:style>
  <w:style w:type="paragraph" w:customStyle="1" w:styleId="Style3">
    <w:name w:val="Style3"/>
    <w:basedOn w:val="ListParagraph"/>
    <w:qFormat/>
    <w:pPr>
      <w:tabs>
        <w:tab w:val="num" w:pos="0"/>
      </w:tabs>
      <w:spacing w:before="120"/>
      <w:ind w:left="360" w:hanging="360"/>
      <w:contextualSpacing/>
      <w:jc w:val="both"/>
    </w:pPr>
    <w:rPr>
      <w:b/>
      <w:sz w:val="28"/>
      <w:szCs w:val="28"/>
    </w:rPr>
  </w:style>
  <w:style w:type="paragraph" w:styleId="Title">
    <w:name w:val="Title"/>
    <w:basedOn w:val="Normal"/>
    <w:next w:val="Normal"/>
    <w:uiPriority w:val="10"/>
    <w:qFormat/>
    <w:pPr>
      <w:spacing w:before="240" w:after="60"/>
      <w:jc w:val="center"/>
      <w:outlineLvl w:val="0"/>
    </w:pPr>
    <w:rPr>
      <w:rFonts w:ascii="Calibri Light" w:hAnsi="Calibri Light"/>
      <w:b/>
      <w:bCs/>
      <w:kern w:val="2"/>
      <w:sz w:val="32"/>
      <w:szCs w:val="32"/>
    </w:rPr>
  </w:style>
  <w:style w:type="paragraph" w:customStyle="1" w:styleId="Outline2limenis">
    <w:name w:val="Outline 2 limenis"/>
    <w:basedOn w:val="Normal"/>
    <w:qFormat/>
    <w:pPr>
      <w:spacing w:after="120"/>
      <w:jc w:val="both"/>
    </w:pPr>
    <w:rPr>
      <w:color w:val="000000"/>
    </w:rPr>
  </w:style>
  <w:style w:type="paragraph" w:styleId="BodyText2">
    <w:name w:val="Body Text 2"/>
    <w:basedOn w:val="Normal"/>
    <w:qFormat/>
    <w:pPr>
      <w:spacing w:after="120" w:line="480" w:lineRule="auto"/>
    </w:pPr>
  </w:style>
  <w:style w:type="paragraph" w:customStyle="1" w:styleId="Default">
    <w:name w:val="Default"/>
    <w:qFormat/>
    <w:pPr>
      <w:suppressAutoHyphens/>
      <w:autoSpaceDE w:val="0"/>
    </w:pPr>
    <w:rPr>
      <w:rFonts w:ascii="Times New Roman" w:eastAsia="Times New Roman" w:hAnsi="Times New Roman" w:cs="Times New Roman"/>
      <w:color w:val="000000"/>
      <w:sz w:val="24"/>
      <w:szCs w:val="24"/>
      <w:lang w:eastAsia="zh-CN"/>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aina.misane@rs.gov.lv"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daina.misane@rs.gov.lv" TargetMode="External"/><Relationship Id="rId4" Type="http://schemas.openxmlformats.org/officeDocument/2006/relationships/webSettings" Target="webSettings.xml"/><Relationship Id="rId9" Type="http://schemas.openxmlformats.org/officeDocument/2006/relationships/hyperlink" Target="mailto:ivans.ivanovs@rs.gov.l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mailto:zigurds.drafens@vraa.gov.lv" TargetMode="External"/><Relationship Id="rId2" Type="http://schemas.openxmlformats.org/officeDocument/2006/relationships/hyperlink" Target="mailto:eis@vraa.gov.lv" TargetMode="External"/><Relationship Id="rId1" Type="http://schemas.openxmlformats.org/officeDocument/2006/relationships/hyperlink" Target="https://www.eis.gov.lv/EIS/Publications/PublicationView.aspx?PublicationId=1203&amp;systemCode=CORE" TargetMode="External"/><Relationship Id="rId6" Type="http://schemas.openxmlformats.org/officeDocument/2006/relationships/hyperlink" Target="https://www.eis.gov.lv/EKEIS/Publication/View/1063?subsystemCode=KON" TargetMode="External"/><Relationship Id="rId5" Type="http://schemas.openxmlformats.org/officeDocument/2006/relationships/hyperlink" Target="http://paligs.eis.gov.lv/suppliers/N_0_2.html" TargetMode="External"/><Relationship Id="rId4" Type="http://schemas.openxmlformats.org/officeDocument/2006/relationships/hyperlink" Target="https://www.eis.gov.lv/EKEIS/NetHelp/lv/LRG%20Help.htm"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12</Pages>
  <Words>22350</Words>
  <Characters>12740</Characters>
  <Application>Microsoft Office Word</Application>
  <DocSecurity>0</DocSecurity>
  <Lines>106</Lines>
  <Paragraphs>70</Paragraphs>
  <ScaleCrop>false</ScaleCrop>
  <HeadingPairs>
    <vt:vector size="2" baseType="variant">
      <vt:variant>
        <vt:lpstr>Title</vt:lpstr>
      </vt:variant>
      <vt:variant>
        <vt:i4>1</vt:i4>
      </vt:variant>
    </vt:vector>
  </HeadingPairs>
  <TitlesOfParts>
    <vt:vector size="1" baseType="lpstr">
      <vt:lpstr>1</vt:lpstr>
    </vt:vector>
  </TitlesOfParts>
  <Company>LR IEM</Company>
  <LinksUpToDate>false</LinksUpToDate>
  <CharactersWithSpaces>35020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rutka</dc:creator>
  <cp:keywords/>
  <dc:description/>
  <cp:lastModifiedBy>Daina Misāne</cp:lastModifiedBy>
  <cp:revision>25</cp:revision>
  <cp:lastPrinted>2020-09-07T09:21:00Z</cp:lastPrinted>
  <dcterms:created xsi:type="dcterms:W3CDTF">2026-04-08T10:30:00Z</dcterms:created>
  <dcterms:modified xsi:type="dcterms:W3CDTF">2026-07-15T07:01:00Z</dcterms:modified>
  <dc:language>en-US</dc:language>
</cp:coreProperties>
</file>