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E3C9C" w14:textId="77777777" w:rsidR="00CF6BC8" w:rsidRDefault="00CF6BC8" w:rsidP="7C1ABB26">
      <w:pPr>
        <w:suppressAutoHyphens/>
        <w:overflowPunct w:val="0"/>
        <w:autoSpaceDE w:val="0"/>
        <w:spacing w:after="200" w:line="276" w:lineRule="auto"/>
        <w:ind w:right="-6"/>
        <w:jc w:val="center"/>
        <w:rPr>
          <w:rFonts w:eastAsiaTheme="minorEastAsia"/>
          <w:sz w:val="28"/>
          <w:szCs w:val="28"/>
          <w:lang w:eastAsia="en-US"/>
        </w:rPr>
      </w:pPr>
    </w:p>
    <w:p w14:paraId="61127CD5" w14:textId="6991EEE6" w:rsidR="00354A95" w:rsidRPr="0077164C" w:rsidRDefault="00354A95" w:rsidP="7C1ABB26">
      <w:pPr>
        <w:tabs>
          <w:tab w:val="left" w:pos="540"/>
        </w:tabs>
        <w:suppressAutoHyphens/>
        <w:overflowPunct w:val="0"/>
        <w:autoSpaceDE w:val="0"/>
        <w:spacing w:after="200" w:line="276" w:lineRule="auto"/>
        <w:ind w:right="-6"/>
        <w:jc w:val="center"/>
        <w:rPr>
          <w:rFonts w:eastAsiaTheme="minorEastAsia"/>
          <w:sz w:val="28"/>
          <w:szCs w:val="28"/>
          <w:lang w:eastAsia="en-US"/>
        </w:rPr>
      </w:pPr>
      <w:r w:rsidRPr="0077164C">
        <w:rPr>
          <w:rFonts w:eastAsiaTheme="minorEastAsia"/>
          <w:sz w:val="28"/>
          <w:szCs w:val="28"/>
          <w:lang w:eastAsia="en-US"/>
        </w:rPr>
        <w:t xml:space="preserve">Atbilde uz </w:t>
      </w:r>
      <w:r w:rsidR="00173E7E" w:rsidRPr="0077164C">
        <w:rPr>
          <w:rFonts w:eastAsiaTheme="minorEastAsia"/>
          <w:sz w:val="28"/>
          <w:szCs w:val="28"/>
          <w:lang w:eastAsia="en-US"/>
        </w:rPr>
        <w:t>j</w:t>
      </w:r>
      <w:r w:rsidRPr="0077164C">
        <w:rPr>
          <w:rFonts w:eastAsiaTheme="minorEastAsia"/>
          <w:sz w:val="28"/>
          <w:szCs w:val="28"/>
          <w:lang w:eastAsia="en-US"/>
        </w:rPr>
        <w:t>autājum</w:t>
      </w:r>
      <w:r w:rsidR="4E97C669" w:rsidRPr="0077164C">
        <w:rPr>
          <w:rFonts w:eastAsiaTheme="minorEastAsia"/>
          <w:sz w:val="28"/>
          <w:szCs w:val="28"/>
          <w:lang w:eastAsia="en-US"/>
        </w:rPr>
        <w:t>u</w:t>
      </w:r>
      <w:r w:rsidR="00270125" w:rsidRPr="0077164C">
        <w:rPr>
          <w:rFonts w:eastAsiaTheme="minorEastAsia"/>
          <w:sz w:val="28"/>
          <w:szCs w:val="28"/>
          <w:lang w:eastAsia="en-US"/>
        </w:rPr>
        <w:t xml:space="preserve"> Nr.</w:t>
      </w:r>
      <w:r w:rsidR="00FC3F67" w:rsidRPr="0077164C">
        <w:rPr>
          <w:rFonts w:eastAsiaTheme="minorEastAsia"/>
          <w:sz w:val="28"/>
          <w:szCs w:val="28"/>
          <w:lang w:eastAsia="en-US"/>
        </w:rPr>
        <w:t>1</w:t>
      </w:r>
    </w:p>
    <w:p w14:paraId="61127CD7" w14:textId="0229359D" w:rsidR="00354A95" w:rsidRPr="0077164C" w:rsidRDefault="006052A4" w:rsidP="2E466003">
      <w:pPr>
        <w:tabs>
          <w:tab w:val="left" w:pos="540"/>
        </w:tabs>
        <w:suppressAutoHyphens/>
        <w:overflowPunct w:val="0"/>
        <w:autoSpaceDE w:val="0"/>
        <w:spacing w:after="200" w:line="276" w:lineRule="auto"/>
        <w:ind w:right="-6"/>
        <w:jc w:val="center"/>
        <w:rPr>
          <w:b/>
          <w:bCs/>
          <w:sz w:val="22"/>
          <w:szCs w:val="22"/>
          <w:lang w:eastAsia="ar-SA"/>
        </w:rPr>
      </w:pPr>
      <w:r w:rsidRPr="0077164C">
        <w:rPr>
          <w:b/>
          <w:bCs/>
          <w:sz w:val="22"/>
          <w:szCs w:val="22"/>
        </w:rPr>
        <w:t>Par iepirkumu “</w:t>
      </w:r>
      <w:r w:rsidR="00F2650C" w:rsidRPr="0077164C">
        <w:rPr>
          <w:b/>
          <w:bCs/>
          <w:color w:val="000000" w:themeColor="text1"/>
        </w:rPr>
        <w:t>Ceļu satiksmes vadības un drošības iekārtu piegāde</w:t>
      </w:r>
      <w:r w:rsidR="29F3BB41" w:rsidRPr="0077164C">
        <w:rPr>
          <w:b/>
          <w:bCs/>
          <w:color w:val="000000" w:themeColor="text1"/>
        </w:rPr>
        <w:t>” ar ID Nr. JG 202</w:t>
      </w:r>
      <w:r w:rsidR="00F2650C" w:rsidRPr="0077164C">
        <w:rPr>
          <w:b/>
          <w:bCs/>
          <w:color w:val="000000" w:themeColor="text1"/>
        </w:rPr>
        <w:t>6</w:t>
      </w:r>
      <w:r w:rsidR="29F3BB41" w:rsidRPr="0077164C">
        <w:rPr>
          <w:b/>
          <w:bCs/>
          <w:color w:val="000000" w:themeColor="text1"/>
        </w:rPr>
        <w:t>/0</w:t>
      </w:r>
      <w:r w:rsidR="00F2650C" w:rsidRPr="0077164C">
        <w:rPr>
          <w:b/>
          <w:bCs/>
          <w:color w:val="000000" w:themeColor="text1"/>
        </w:rPr>
        <w:t>3</w:t>
      </w:r>
    </w:p>
    <w:p w14:paraId="61127CD8" w14:textId="7C1CEFA0" w:rsidR="00354A95" w:rsidRPr="0077164C" w:rsidRDefault="00354A95" w:rsidP="2E466003">
      <w:pPr>
        <w:spacing w:after="200" w:line="276" w:lineRule="auto"/>
        <w:rPr>
          <w:rFonts w:eastAsiaTheme="minorEastAsia"/>
          <w:lang w:eastAsia="en-US"/>
        </w:rPr>
      </w:pPr>
      <w:r w:rsidRPr="0077164C">
        <w:rPr>
          <w:rFonts w:eastAsiaTheme="minorEastAsia"/>
          <w:lang w:eastAsia="en-US"/>
        </w:rPr>
        <w:t>Esam saņēmuši sekojošu</w:t>
      </w:r>
      <w:r w:rsidR="00F2650C" w:rsidRPr="0077164C">
        <w:rPr>
          <w:rFonts w:eastAsiaTheme="minorEastAsia"/>
          <w:lang w:eastAsia="en-US"/>
        </w:rPr>
        <w:t>s</w:t>
      </w:r>
      <w:r w:rsidRPr="0077164C">
        <w:rPr>
          <w:rFonts w:eastAsiaTheme="minorEastAsia"/>
          <w:lang w:eastAsia="en-US"/>
        </w:rPr>
        <w:t xml:space="preserve"> pretendenta jautājumu</w:t>
      </w:r>
      <w:r w:rsidR="00F2650C" w:rsidRPr="0077164C">
        <w:rPr>
          <w:rFonts w:eastAsiaTheme="minorEastAsia"/>
          <w:lang w:eastAsia="en-US"/>
        </w:rPr>
        <w:t>s</w:t>
      </w:r>
      <w:r w:rsidR="006052A4" w:rsidRPr="0077164C">
        <w:rPr>
          <w:rFonts w:eastAsiaTheme="minorEastAsia"/>
          <w:lang w:eastAsia="en-US"/>
        </w:rPr>
        <w:t xml:space="preserve"> un sniedzam sekojoš</w:t>
      </w:r>
      <w:r w:rsidR="00F2650C" w:rsidRPr="0077164C">
        <w:rPr>
          <w:rFonts w:eastAsiaTheme="minorEastAsia"/>
          <w:lang w:eastAsia="en-US"/>
        </w:rPr>
        <w:t>as</w:t>
      </w:r>
      <w:r w:rsidR="006052A4" w:rsidRPr="0077164C">
        <w:rPr>
          <w:rFonts w:eastAsiaTheme="minorEastAsia"/>
          <w:lang w:eastAsia="en-US"/>
        </w:rPr>
        <w:t xml:space="preserve"> atbild</w:t>
      </w:r>
      <w:r w:rsidR="00F2650C" w:rsidRPr="0077164C">
        <w:rPr>
          <w:rFonts w:eastAsiaTheme="minorEastAsia"/>
          <w:lang w:eastAsia="en-US"/>
        </w:rPr>
        <w:t>es</w:t>
      </w:r>
      <w:r w:rsidRPr="0077164C">
        <w:rPr>
          <w:rFonts w:eastAsiaTheme="minorEastAsia"/>
          <w:lang w:eastAsia="en-US"/>
        </w:rPr>
        <w:t>:</w:t>
      </w:r>
      <w:r w:rsidR="001675BF" w:rsidRPr="0077164C">
        <w:rPr>
          <w:rFonts w:eastAsiaTheme="minorEastAsia"/>
          <w:lang w:eastAsia="en-US"/>
        </w:rPr>
        <w:t>↓</w:t>
      </w:r>
    </w:p>
    <w:p w14:paraId="1EE2798C" w14:textId="77777777" w:rsidR="00901ACF" w:rsidRPr="0077164C" w:rsidRDefault="00901ACF" w:rsidP="00901ACF">
      <w:pPr>
        <w:spacing w:before="240" w:after="120"/>
      </w:pPr>
      <w:r w:rsidRPr="0077164C">
        <w:rPr>
          <w:b/>
          <w:bCs/>
        </w:rPr>
        <w:t>1. jautājums — Informācijas par esošo sistēmu oficiāla publicēšana EIS un esošo kontrolieru identifikācija</w:t>
      </w:r>
    </w:p>
    <w:p w14:paraId="715DC13B" w14:textId="77777777" w:rsidR="00901ACF" w:rsidRPr="0077164C" w:rsidRDefault="00901ACF" w:rsidP="00901ACF">
      <w:pPr>
        <w:spacing w:after="120"/>
        <w:jc w:val="both"/>
      </w:pPr>
      <w:r w:rsidRPr="0077164C">
        <w:t>Ņemot vērā, ka informācija par esošo luksoforu vadības sistēmu (Swarco Cloud, versija v3.6.4-1-g75a39809) līdz šim ir sniegta tikai vienam ieinteresētajam piegādātājam elektroniskā pasta sarakstē, lūdzam Pasūtītāju šo informāciju oficiāli publicēt EIS e-konkursu apakšsistēmā, lai tā vienlaikus un vienādā apjomā būtu pieejama visiem ieinteresētajiem piegādātājiem atbilstoši Publisko iepirkumu likuma (turpmāk – PIL) 2.pantā un Direktīvas 2014/24/ES 18.panta 1.punktā nostiprinātajiem vienlīdzīgas attieksmes un caurskatāmības principiem.</w:t>
      </w:r>
    </w:p>
    <w:p w14:paraId="34CAD850" w14:textId="77777777" w:rsidR="00901ACF" w:rsidRPr="0077164C" w:rsidRDefault="00901ACF" w:rsidP="00901ACF">
      <w:pPr>
        <w:spacing w:after="120"/>
        <w:jc w:val="both"/>
      </w:pPr>
      <w:r w:rsidRPr="0077164C">
        <w:t>Papildus lūdzam norādīt: (a) Pasūtītāja ekspluatācijā esošo luksoforu kontrolieru ražotāju(-us) un tipu(-us), ar kuriem saskaņā ar Tehniskās specifikācijas 1.8.3. punktu jānodrošina koordinēšanas iespēja un saskaņā ar 1.8.4. punktu – saderība; (b) vai Swarco Cloud ir vienīgā uzraudzības sistēma, ar kuru jānodrošina piegādājamo kontrolieru saderība.</w:t>
      </w:r>
    </w:p>
    <w:p w14:paraId="64D953D8" w14:textId="77777777" w:rsidR="00901ACF" w:rsidRPr="0077164C" w:rsidRDefault="00901ACF" w:rsidP="00901ACF">
      <w:pPr>
        <w:spacing w:after="120"/>
        <w:jc w:val="both"/>
      </w:pPr>
      <w:r w:rsidRPr="0077164C">
        <w:rPr>
          <w:b/>
        </w:rPr>
        <w:t>Atbilde.</w:t>
      </w:r>
      <w:r w:rsidRPr="0077164C">
        <w:t xml:space="preserve"> Minētā informācija visiem ieinteresētajiem piegādātājiem no Pasūtītāja puses tiek sniegta pēc pieprasījuma, nodrošinot vienlīdzīgu attieksmi. Pasūtītāja ieskatā nekādā veidā nav pārkāpts vienlīdzīgas attieksmes vai caurskatāmības princips. Ja tiek saņemts ieinteresētā piegādātāja pieprasījums, no Pasūtītāja puses nekavējoties tiek sniegta informācija. Visiem ieinteresētajiem piegādātājiem ir vienādas tiesības iegūt informāciju.</w:t>
      </w:r>
    </w:p>
    <w:p w14:paraId="00727D0F" w14:textId="77777777" w:rsidR="00901ACF" w:rsidRPr="0077164C" w:rsidRDefault="00901ACF" w:rsidP="00901ACF">
      <w:pPr>
        <w:spacing w:after="120"/>
        <w:jc w:val="both"/>
      </w:pPr>
      <w:r w:rsidRPr="0077164C">
        <w:t>Pasūtītāja ekspluatācijā esošie luksoforu kontrolieri ir SWARCO ražoti kontrolieri. Atbilstoši Tehniskās specifikācijas 1.8.3. un 1.8.4. punktam piegādājamajiem kontrolieriem ir jānodrošina koordinēšanas iespēja un savietojamība ar Pasūtītāja ekspluatācijā esošo infrastruktūru. Pasūtītāja ekspluatācijā esošā luksoforu uzraudzības sistēma ir Swarco Cloud (versija v3.6.4-1-g75a39809), un tieši ar šo sistēmu ir jānodrošina piegādājamo kontrolieru savietojamība.</w:t>
      </w:r>
    </w:p>
    <w:p w14:paraId="43345807" w14:textId="77777777" w:rsidR="00901ACF" w:rsidRPr="0077164C" w:rsidRDefault="00901ACF" w:rsidP="00901ACF">
      <w:pPr>
        <w:spacing w:before="240" w:after="120"/>
      </w:pPr>
      <w:r w:rsidRPr="0077164C">
        <w:rPr>
          <w:b/>
          <w:bCs/>
        </w:rPr>
        <w:t>2. jautājums — Citu ražotāju kontrolieru integrācijas iespēja Swarco Cloud sistēmā</w:t>
      </w:r>
    </w:p>
    <w:p w14:paraId="4A21EB7F" w14:textId="77777777" w:rsidR="00901ACF" w:rsidRPr="0077164C" w:rsidRDefault="00901ACF" w:rsidP="00901ACF">
      <w:pPr>
        <w:spacing w:after="120"/>
        <w:jc w:val="both"/>
      </w:pPr>
      <w:r w:rsidRPr="0077164C">
        <w:t>Swarco Cloud ir ražotāja SWARCO patentēts (proprietārs) mākoņrisinājums. Lūdzam Pasūtītāju sniegt šādu informāciju: (a) vai Swarco Cloud versija v3.6.4-1-g75a39809 nodrošina citu ražotāju luksoforu kontrolieru pieslēgšanu un uzraudzību; (b) ja jā – kāds saziņas protokols un saskarne šim nolūkam tiek izmantota, vai tas ir atvērts (publiski dokumentēts) protokols, piemēram, OCIT-O vai tam līdzvērtīgs, un kur pretendentiem ir pieejama attiecīgā saskarnes dokumentācija; (c) vai citu ražotāju kontrolieru integrācijai Swarco Cloud sistēmā ir nepieciešamas licences, saskarnes atvēršanas vai citas maksas SWARCO vai tā pārstāvim, un, ja jā, – kāds ir to apmērs un kurš tās sedz.</w:t>
      </w:r>
    </w:p>
    <w:p w14:paraId="12543C1C" w14:textId="77777777" w:rsidR="00901ACF" w:rsidRPr="0077164C" w:rsidRDefault="00901ACF" w:rsidP="00901ACF">
      <w:pPr>
        <w:spacing w:after="120"/>
        <w:jc w:val="both"/>
      </w:pPr>
      <w:r w:rsidRPr="0077164C">
        <w:t>Ja izrādās, ka Swarco Cloud citu ražotāju kontrolieru integrāciju nenodrošina vai nodrošina tikai ar SWARCO ziņā esošiem komerciāliem nosacījumiem, Tehniskās specifikācijas 1.8.4. punkta prasība faktiski nozīmē, ka atbilstošu piedāvājumu var iesniegt vienīgi ar viena ražotāja kontrolieriem, un tādā gadījumā prasība bez objektīva pamatojuma ierobežo konkurenci pretēji PIL 20. panta noteikumiem un Direktīvas 2014/24/ES 42. panta 4. punktam, kas atsauci uz konkrētu ražojumu vai avotu pieļauj vienīgi izņēmuma kārtā un ar piebildi “vai ekvivalents”.</w:t>
      </w:r>
    </w:p>
    <w:p w14:paraId="4492B0E6" w14:textId="77777777" w:rsidR="00901ACF" w:rsidRPr="0077164C" w:rsidRDefault="00901ACF" w:rsidP="00901ACF">
      <w:pPr>
        <w:spacing w:after="120"/>
        <w:jc w:val="both"/>
      </w:pPr>
      <w:r w:rsidRPr="0077164C">
        <w:rPr>
          <w:b/>
        </w:rPr>
        <w:t xml:space="preserve">Atbilde: </w:t>
      </w:r>
      <w:r w:rsidRPr="0077164C">
        <w:rPr>
          <w:bCs/>
        </w:rPr>
        <w:t>Pasūtītāja rīcībā ir informācija, ka</w:t>
      </w:r>
      <w:r w:rsidRPr="0077164C">
        <w:t xml:space="preserve"> esošajā Swarco Cloud sistēmas versijā šobrīd laikam nav paredzēta citu ražotāju luksoforu kontrolieru integrācija, bet vienlaikus Pasūtītājs to nevar apgalvot, tāpēc arī ir norādīta piebilde “vai ekvivalents”. Pasūtītājs ir tikai un vienīgi šīs Swarco Cloud sistēmas lietotājs un kā lietotājs viennozīmīgi ir ieinteresēts, ja ir/būtu paredzēta citu ražotāju luksoforu kontrolieru integrācija Swarco Cloud sistēmā. Ievērojot minēto, iepirkuma priekšmets paredz piegādājamo kontrolieru integrāciju Pasūtītāja jau ekspluatācijā esošajā Swarco Cloud sistēmā. Tāpat vienlaikus vēršama uzmanība uz to, ka </w:t>
      </w:r>
      <w:r w:rsidRPr="0077164C">
        <w:lastRenderedPageBreak/>
        <w:t>Pasūtītāja tehniskās prasības objektīvi izriet no nepieciešamības nodrošināt savietojamību ar esošo infrastruktūru.</w:t>
      </w:r>
    </w:p>
    <w:p w14:paraId="4A994045" w14:textId="77777777" w:rsidR="00901ACF" w:rsidRPr="0077164C" w:rsidRDefault="00901ACF" w:rsidP="00901ACF">
      <w:pPr>
        <w:spacing w:after="120"/>
        <w:jc w:val="both"/>
      </w:pPr>
      <w:r w:rsidRPr="0077164C">
        <w:t>Pasūtītājs būtu tiesīgs tehniskajā specifikācijā noteikt prasību par konkrēta ražotāja risinājumu arī bez norādes “vai ekvivalents”, ja objektīvi nepastāv cita tehniska alternatīva, kas nodrošinātu iepirkuma priekšmeta izpildi (sk. Eiropas Savienības Tiesas 2025.gada 16.janvāra spriedumu lietā C-424/23, Senāta 2025.gada 22.septembra spriedumu lietā Nr.SKA-75/2025). Vienlaikus Pasūtītājs šādu pieeju nav izvēlējies pilnībā nepārzinot konkrēto jomu. Arī Iepirkumu uzraudzības birojs ir atzinis, ka gadījumā, ja pasūtītājs no Swarco Cloud sistēmas ražotāja vai citādā veidā iegūst informāciju par to, ka esošajā sistēmā objektīvi nav iespējama citu ražotāju ierīču integrācija, pasūtītājs ir tiesīgs noteikt prasību par konkrēta ražotāja precēm arī bez norādes “vai ekvivalents”.</w:t>
      </w:r>
    </w:p>
    <w:p w14:paraId="7443734D" w14:textId="77777777" w:rsidR="00901ACF" w:rsidRPr="0077164C" w:rsidRDefault="00901ACF" w:rsidP="00901ACF">
      <w:pPr>
        <w:spacing w:after="120"/>
        <w:jc w:val="both"/>
      </w:pPr>
      <w:r w:rsidRPr="0077164C">
        <w:t>Līdz ar to konkrētajā gadījumā prasība nav vērsta uz konkurences nepamatotu ierobežošanu, bet gan uz objektīvi pamatotas savietojamības nodrošināšanu ar Pasūtītāja rīcībā jau esošo sistēmu.</w:t>
      </w:r>
    </w:p>
    <w:p w14:paraId="5AAB41D0" w14:textId="77777777" w:rsidR="00901ACF" w:rsidRPr="0077164C" w:rsidRDefault="00901ACF" w:rsidP="00901ACF">
      <w:pPr>
        <w:spacing w:after="120"/>
        <w:jc w:val="both"/>
      </w:pPr>
      <w:r w:rsidRPr="0077164C">
        <w:t>Pasūtītājs nekādā veidā nevar un Pasūtītājam arī nav tiesību komentēt norādīto par SWARCO ziņā esošiem komerciāliem nosacījumiem. Šis jautājums nav arī risināms šī atklātā konkursa ietvarā.</w:t>
      </w:r>
    </w:p>
    <w:p w14:paraId="7708B7AE" w14:textId="77777777" w:rsidR="00901ACF" w:rsidRPr="0077164C" w:rsidRDefault="00901ACF" w:rsidP="00901ACF">
      <w:pPr>
        <w:spacing w:before="240" w:after="120"/>
      </w:pPr>
      <w:r w:rsidRPr="0077164C">
        <w:rPr>
          <w:b/>
          <w:bCs/>
        </w:rPr>
        <w:t>3. jautājums — Saderības prasības (1.8.4. punkts) satura definīcija</w:t>
      </w:r>
    </w:p>
    <w:p w14:paraId="247B765D" w14:textId="77777777" w:rsidR="00901ACF" w:rsidRPr="0077164C" w:rsidRDefault="00901ACF" w:rsidP="00901ACF">
      <w:pPr>
        <w:spacing w:after="120"/>
        <w:jc w:val="both"/>
      </w:pPr>
      <w:r w:rsidRPr="0077164C">
        <w:t>Lūdzam Pasūtītāju precīzi definēt, kāda minimālā funkcionalitāte piegādājamā kontroliera un esošās Swarco Cloud sistēmas savstarpējā saziņā ir jānodrošina, lai prasība par saderību tiktu atzīta par izpildītu (piemēram: kontroliera stāvokļa un kļūmju monitorings; signālplānu attālināta pārslēgšana; detektoru datu nodošana; koordinētā režīma vadība no centrālās sistēmas u.c.).</w:t>
      </w:r>
    </w:p>
    <w:p w14:paraId="2F7893D8" w14:textId="77777777" w:rsidR="00901ACF" w:rsidRPr="0077164C" w:rsidRDefault="00901ACF" w:rsidP="00901ACF">
      <w:pPr>
        <w:spacing w:after="120"/>
        <w:jc w:val="both"/>
      </w:pPr>
      <w:r w:rsidRPr="0077164C">
        <w:t>Vienlaikus norādām, ka Tehniskās specifikācijas 1.6.2. un 1.8.5. punkts jau paredz kontroliera attālinātu uzraudzību un pilnu iestatījumu un signālplānu izmaiņu veikšanu, izmantojot kontrolierī iebūvēto WEB-serveri. Lūdzam apstiprināt, ka 1.8.4. punkta prasība ir izpildīta, ja kontroliera pilnvērtīga attālināta uzraudzība un vadība tiek nodrošināta ar iebūvēto WEB-serveri un atvērtiem protokoliem, neintegrējot kontrolieri Swarco Cloud sistēmā, vai arī sniegt objektīvu tehnisko pamatojumu, kādēļ integrācija tieši Swarco Cloud sistēmā ir obligāti nepieciešama iepirkuma priekšmeta – iekārtu piegādes – ietvaros.</w:t>
      </w:r>
    </w:p>
    <w:p w14:paraId="3FCC98F0" w14:textId="77777777" w:rsidR="00901ACF" w:rsidRPr="0077164C" w:rsidRDefault="00901ACF" w:rsidP="00901ACF">
      <w:pPr>
        <w:spacing w:after="120"/>
        <w:jc w:val="both"/>
      </w:pPr>
      <w:r w:rsidRPr="0077164C">
        <w:rPr>
          <w:b/>
        </w:rPr>
        <w:t>Atbilde.</w:t>
      </w:r>
      <w:r w:rsidRPr="0077164C">
        <w:t xml:space="preserve"> Tehniskās specifikācijas 1.8.4.punkta prasība paredz piegādājamo luksoforu kontrolieru savietojamību ar Pasūtītāja ekspluatācijā esošo luksoforu vadības un uzraudzības sistēmu Swarco Cloud (versija v3.6.4-1-g75a39809). Savietojamība šīs prasības izpratnē nozīmē, ka piegādātie kontrolieri ir integrējami Pasūtītāja esošajā sistēmā un nodrošina to ekspluatācijai nepieciešamo funkcionalitāti.</w:t>
      </w:r>
    </w:p>
    <w:p w14:paraId="2714165E" w14:textId="77777777" w:rsidR="00901ACF" w:rsidRPr="0077164C" w:rsidRDefault="00901ACF" w:rsidP="00901ACF">
      <w:pPr>
        <w:spacing w:after="120"/>
        <w:jc w:val="both"/>
      </w:pPr>
      <w:r w:rsidRPr="0077164C">
        <w:t>Tehniskās specifikācijas 1.6.2. un 1.8.5.punktā noteiktā prasība par kontrolierī iebūvētu WEB serveri ir papildu funkcionāla prasība, kas nenovērš un neaizstāj prasību par savietojamību ar Pasūtītāja ekspluatācijā esošo centralizēto vadības un uzraudzības sistēmu.</w:t>
      </w:r>
    </w:p>
    <w:p w14:paraId="48AACC32" w14:textId="77777777" w:rsidR="00901ACF" w:rsidRPr="0077164C" w:rsidRDefault="00901ACF" w:rsidP="00901ACF">
      <w:pPr>
        <w:spacing w:after="120"/>
        <w:jc w:val="both"/>
      </w:pPr>
      <w:r w:rsidRPr="0077164C">
        <w:t>Pasūtītājs neapstiprina, ka Tehniskās specifikācijas 1.8.4.punkta prasība būtu izpildīta, nodrošinot vienīgi attālinātu piekļuvi kontrolierim, izmantojot iebūvētu WEB serveri bez integrācijas Swarco Cloud sistēmā. Šāds risinājums nenodrošina prasībā paredzēto savietojamību ar Pasūtītāja ekspluatācijā esošo infrastruktūru.</w:t>
      </w:r>
    </w:p>
    <w:p w14:paraId="5B686EE8" w14:textId="77777777" w:rsidR="00901ACF" w:rsidRPr="0077164C" w:rsidRDefault="00901ACF" w:rsidP="00901ACF">
      <w:pPr>
        <w:spacing w:after="120"/>
        <w:jc w:val="both"/>
      </w:pPr>
      <w:r w:rsidRPr="0077164C">
        <w:t>Vienlaikus atkārtoti vēršama uzmanība uz to, ka Pasūtītāja tehniskās prasības objektīvi izriet no nepieciešamības nodrošināt savietojamību ar esošo infrastruktūru.</w:t>
      </w:r>
    </w:p>
    <w:p w14:paraId="5073A4D4" w14:textId="77777777" w:rsidR="00901ACF" w:rsidRPr="0077164C" w:rsidRDefault="00901ACF" w:rsidP="00901ACF">
      <w:pPr>
        <w:spacing w:before="240" w:after="120"/>
      </w:pPr>
      <w:r w:rsidRPr="0077164C">
        <w:rPr>
          <w:b/>
          <w:bCs/>
        </w:rPr>
        <w:t>4. jautājums — Koordinācija ar esošajiem pilsētas luksoforu kontrolieriem (1.8.3. punkts)</w:t>
      </w:r>
    </w:p>
    <w:p w14:paraId="7F873E17" w14:textId="77777777" w:rsidR="00901ACF" w:rsidRPr="0077164C" w:rsidRDefault="00901ACF" w:rsidP="00901ACF">
      <w:pPr>
        <w:spacing w:after="120"/>
        <w:jc w:val="both"/>
      </w:pPr>
      <w:r w:rsidRPr="0077164C">
        <w:t>Lūdzam apstiprināt, ka Tehniskās specifikācijas 1.8.3. punktā noteiktā koordinēšanas prasība ir izpildāma ar laika sinhronizāciju (GPS), nepieprasot tiešu datu apmaiņu ar esošajiem kontrolieriem konkrēta ražotāja slēgtā protokolā, vai arī norādīt, kāda konkrēta koordinācijas funkcionalitāte un ar kādu protokolu ir jānodrošina.</w:t>
      </w:r>
    </w:p>
    <w:p w14:paraId="0265F9D6" w14:textId="77777777" w:rsidR="00901ACF" w:rsidRPr="0077164C" w:rsidRDefault="00901ACF" w:rsidP="00901ACF">
      <w:pPr>
        <w:spacing w:after="120"/>
        <w:jc w:val="both"/>
        <w:rPr>
          <w:b/>
        </w:rPr>
      </w:pPr>
      <w:r w:rsidRPr="0077164C">
        <w:rPr>
          <w:b/>
        </w:rPr>
        <w:t>Atbilde.</w:t>
      </w:r>
      <w:r w:rsidRPr="0077164C">
        <w:t xml:space="preserve"> Tehniskās specifikācijas 1.8.3. punktā noteiktā prasība paredz piegādājamo luksoforu kontrolieru spēju nodrošināt koordinētu darbību ar Pasūtītāja ekspluatācijā esošajiem luksoforu kontrolieriem. Pasūtītājs neapstiprina, ka minētā prasība būtu izpildīta, nodrošinot vienīgi laika sinhronizāciju, izmantojot GPS.</w:t>
      </w:r>
    </w:p>
    <w:p w14:paraId="1D2E356D" w14:textId="77777777" w:rsidR="00901ACF" w:rsidRPr="0077164C" w:rsidRDefault="00901ACF" w:rsidP="00901ACF">
      <w:pPr>
        <w:spacing w:after="120"/>
        <w:jc w:val="both"/>
      </w:pPr>
      <w:r w:rsidRPr="0077164C">
        <w:t xml:space="preserve">Konkrētajam tehniskajam risinājumam ir jānodrošina prasībā paredzētā koordinācijas funkcionalitāte un savietojamība ar Pasūtītāja ekspluatācijā esošo infrastruktūru. Pretendents ir tiesīgs izvēlēties tehnisko </w:t>
      </w:r>
      <w:r w:rsidRPr="0077164C">
        <w:lastRenderedPageBreak/>
        <w:t>risinājumu, ar kuru tiek nodrošināta atbilstība tehniskās specifikācijas prasībām, tai skaitā adaptīvs sinhronizācijas modelis, pie noteiktu parametru izpildes.</w:t>
      </w:r>
    </w:p>
    <w:p w14:paraId="10C4504C" w14:textId="77777777" w:rsidR="00901ACF" w:rsidRPr="0077164C" w:rsidRDefault="00901ACF" w:rsidP="00901ACF">
      <w:pPr>
        <w:spacing w:before="240" w:after="120"/>
      </w:pPr>
      <w:r w:rsidRPr="0077164C">
        <w:rPr>
          <w:b/>
          <w:bCs/>
        </w:rPr>
        <w:t>5. jautājums — Vadīto signālgrupu skaits (1.3.3. punkts)</w:t>
      </w:r>
    </w:p>
    <w:p w14:paraId="564938D8" w14:textId="77777777" w:rsidR="00901ACF" w:rsidRPr="0077164C" w:rsidRDefault="00901ACF" w:rsidP="00901ACF">
      <w:pPr>
        <w:spacing w:after="120"/>
        <w:jc w:val="both"/>
      </w:pPr>
      <w:r w:rsidRPr="0077164C">
        <w:t>Tehniskās specifikācijas 1.3.3. punkts nosaka prasību “vadīto signālgrupu skaits – ne mazāk par 8”. Atkarībā no signālgrupas veida (viena aspekta grupa, gājēju grupa, transporta grupa u.c.) viena signālgrupa var ietvert vienu, divas, trīs vai vairāk signālizejas, tāpēc prasība pašreizējā redakcijā nav viennozīmīgi interpretējama un dažādu ražotāju kontrolieri ar vienādu faktisko kapacitāti var tikt vērtēti atšķirīgi. Lūdzam precizēt prasību, norādot minimālo nepieciešamo signālizeju (barojošo izeju) skaitu, vai apstiprināt, ka par atbilstošu tiks uzskatīts kontrolieris, kas nodrošina vismaz 8 signālgrupas neatkarīgi no signālizeju konfigurācijas.</w:t>
      </w:r>
    </w:p>
    <w:p w14:paraId="52168A03" w14:textId="77777777" w:rsidR="00901ACF" w:rsidRPr="0077164C" w:rsidRDefault="00901ACF" w:rsidP="00901ACF">
      <w:pPr>
        <w:spacing w:after="120"/>
        <w:jc w:val="both"/>
      </w:pPr>
      <w:r w:rsidRPr="0077164C">
        <w:rPr>
          <w:b/>
        </w:rPr>
        <w:t>Atbilde.</w:t>
      </w:r>
      <w:r w:rsidRPr="0077164C">
        <w:t xml:space="preserve"> Pasūtītājs apstiprina, ka par atbilstošu tiks uzskatīts kontrolieris, kas nodrošina vismaz 8 signālgrupas neatkarīgi no signālizeju konfigurācijas.</w:t>
      </w:r>
    </w:p>
    <w:p w14:paraId="45B9833C" w14:textId="77777777" w:rsidR="00901ACF" w:rsidRPr="0077164C" w:rsidRDefault="00901ACF" w:rsidP="00901ACF">
      <w:pPr>
        <w:spacing w:before="240" w:after="120"/>
      </w:pPr>
      <w:r w:rsidRPr="0077164C">
        <w:rPr>
          <w:b/>
          <w:bCs/>
        </w:rPr>
        <w:t>6. jautājums — Skapja izmēri un korpusa materiāls (2.1.–2.3. un 2.8. punkts)</w:t>
      </w:r>
    </w:p>
    <w:p w14:paraId="78EC6F15" w14:textId="77777777" w:rsidR="00901ACF" w:rsidRPr="0077164C" w:rsidRDefault="00901ACF" w:rsidP="00901ACF">
      <w:pPr>
        <w:spacing w:after="120"/>
        <w:jc w:val="both"/>
      </w:pPr>
      <w:r w:rsidRPr="0077164C">
        <w:t xml:space="preserve">Tehniskās specifikācijas 2.1. punkts nosaka skapja augstumu bez cokola 1200–1300 mm robežās (2.2. un 2.3. punkts – platumu 700–800 mm un dziļumu 300–350 mm). Tirgū plaši pieejami standarta luksoforu kontrolieru skapji, kuru augstums sākas aptuveni no 1050 mm un kuri pilnībā nodrošina visas specifikācijā noteiktās funkcionālās prasības (montāžas rāmis, DIN līstes, apsilde, pārsprieguma aizsardzība u.c.). </w:t>
      </w:r>
    </w:p>
    <w:p w14:paraId="216E741D" w14:textId="77777777" w:rsidR="00901ACF" w:rsidRPr="0077164C" w:rsidRDefault="00901ACF" w:rsidP="00901ACF">
      <w:pPr>
        <w:spacing w:after="120"/>
        <w:jc w:val="both"/>
      </w:pPr>
      <w:r w:rsidRPr="0077164C">
        <w:t>Lūdzam Pasūtītāju: (a) sniegt tehnisko pamatojumu noteiktajiem izmēru diapazoniem vai apstiprināt, ka tiks pieņemti arī skapji ar citiem izmēriem, ja tie nodrošina visas funkcionālās un tehniskās prasības un nepieciešamo montāžas ietilpību; (b) apstiprināt, ka 2.8. punkta prasība par korpusa materiālu (polikarbonāts) pieļauj arī funkcionāli līdzvērtīgus vai pārākus materiālus (piemēram, alumīniju vai nerūsējošo tēraudu) ar atbilstošu aizsardzības klasi, vai sniegt objektīvu pamatojumu tieši polikarbonāta nepieciešamībai.</w:t>
      </w:r>
    </w:p>
    <w:p w14:paraId="25693D33" w14:textId="77777777" w:rsidR="00901ACF" w:rsidRPr="0077164C" w:rsidRDefault="00901ACF" w:rsidP="00901ACF">
      <w:pPr>
        <w:spacing w:after="120"/>
        <w:jc w:val="both"/>
        <w:rPr>
          <w:b/>
        </w:rPr>
      </w:pPr>
      <w:r w:rsidRPr="0077164C">
        <w:rPr>
          <w:b/>
        </w:rPr>
        <w:t xml:space="preserve">Atbilde.  </w:t>
      </w:r>
    </w:p>
    <w:p w14:paraId="515D9E00" w14:textId="77777777" w:rsidR="00901ACF" w:rsidRPr="0077164C" w:rsidRDefault="00901ACF" w:rsidP="00901ACF">
      <w:pPr>
        <w:spacing w:after="120"/>
        <w:jc w:val="both"/>
      </w:pPr>
      <w:r w:rsidRPr="0077164C">
        <w:t>Tehniskās specifikācijas 2.1.–2.3.punktā noteiktie skapja izmēri ir Pasūtītāja noteiktas tehniskās prasības, kas izriet no ekspluatācijas un infrastruktūras prasībām. Pasūtītājs neparedz atkāpes no noteiktajiem izmēriem, jo tiem ir nozīme iepirkuma priekšmeta atbilstības nodrošināšanā un vienota pilsētas vizuālā tēla saglabāšanā.</w:t>
      </w:r>
    </w:p>
    <w:p w14:paraId="0F8342FD" w14:textId="77777777" w:rsidR="00901ACF" w:rsidRPr="0077164C" w:rsidRDefault="00901ACF" w:rsidP="00901ACF">
      <w:pPr>
        <w:spacing w:after="120"/>
        <w:jc w:val="both"/>
      </w:pPr>
      <w:r w:rsidRPr="0077164C">
        <w:t>Vienlaikus Pasūtītājs apstiprina, ka attiecībā uz tehniskās specifikācijas 2.8.punkta prasību par korpusa materiālu (polikarbonāts) tiks pieļauti arī funkcionāli līdzvērtīgi vai pārāki materiāli (piemēram, alumīniju vai nerūsējošo tēraudu) ar atbilstošu aizsardzības klasi.</w:t>
      </w:r>
    </w:p>
    <w:p w14:paraId="39ADA759" w14:textId="77777777" w:rsidR="00901ACF" w:rsidRPr="0077164C" w:rsidRDefault="00901ACF" w:rsidP="00901ACF">
      <w:pPr>
        <w:spacing w:before="240" w:after="120"/>
      </w:pPr>
      <w:r w:rsidRPr="0077164C">
        <w:rPr>
          <w:b/>
          <w:bCs/>
        </w:rPr>
        <w:t>7. jautājums — Signālgalvu stiprinājuma skrūvju attālumi (3.11., 3.12. un 4.12. punkts)</w:t>
      </w:r>
    </w:p>
    <w:p w14:paraId="55F9C717" w14:textId="77777777" w:rsidR="00901ACF" w:rsidRPr="0077164C" w:rsidRDefault="00901ACF" w:rsidP="00901ACF">
      <w:pPr>
        <w:spacing w:after="120"/>
        <w:jc w:val="both"/>
      </w:pPr>
      <w:r w:rsidRPr="0077164C">
        <w:t>Tehniskās specifikācijas 3.11., 3.12. un 4.12. punkts nosaka precīzus izmērus starp stiprinājuma skrūvēm (attiecīgi 969 mm, 705 mm un 1292 mm) ar toleranci ±2 mm. Šādi milimetru precizitātes montāžas izmēri ar ļoti šauru pielaidi atbilst konkrēta ražotāja signālgalvu konstrukcijai un bez tehniska pamatojuma izslēdz citu ražotāju funkcionāli un normatīvi (EN 12368) pilnībā atbilstošas signālgalvas.</w:t>
      </w:r>
    </w:p>
    <w:p w14:paraId="6A579B50" w14:textId="77777777" w:rsidR="00901ACF" w:rsidRPr="0077164C" w:rsidRDefault="00901ACF" w:rsidP="00901ACF">
      <w:pPr>
        <w:spacing w:after="120"/>
        <w:jc w:val="both"/>
      </w:pPr>
      <w:r w:rsidRPr="0077164C">
        <w:t>Lūdzam Pasūtītāju: (a) sniegt tehnisko pamatojumu tieši šo montāžas izmēru noteikšanai; (b) ja pamatojums ir saderība ar esošajiem stiprinājumiem vai balstiem, apstiprināt, ka par atbilstošām tiks atzītas arī signālgalvas ar citiem stiprinājuma izmēriem, ja tās tiek piegādātas ar ražotāja paredzētajiem kronšteiniem vai adapteriem montāžai pie apaļiem balstiem (kā to jau paredz 3.10. un 4.10. punkts); (c) pretējā gadījumā – grozīt specifikāciju, aizstājot konkrētos izmērus ar funkcionālu prasību. Atbilstoši Direktīvas 2014/24/ES 42. panta 3. un 4. punktam tehniskās specifikācijas primāri izsakāmas kā funkcionālas prasības, un raksturlielumi, kas bez objektīva pamatojuma atbilst tikai viena ražotāja izstrādājumam, nepamatoti ierobežo konkurenci (sk. arī Eiropas Savienības Tiesas 2018. gada 12. jūlija spriedumu lietā C-14/17 VAR un ATM).</w:t>
      </w:r>
    </w:p>
    <w:p w14:paraId="3DEE43B9" w14:textId="77777777" w:rsidR="00901ACF" w:rsidRPr="0077164C" w:rsidRDefault="00901ACF" w:rsidP="00901ACF">
      <w:pPr>
        <w:spacing w:after="120"/>
        <w:jc w:val="both"/>
      </w:pPr>
      <w:r w:rsidRPr="0077164C">
        <w:rPr>
          <w:b/>
        </w:rPr>
        <w:t>Atbilde.</w:t>
      </w:r>
      <w:r w:rsidRPr="0077164C">
        <w:t xml:space="preserve"> Tehniskās specifikācijas 3.11., 3.12. un 4.12. punktā noteiktie stiprinājuma izmēri ir pamatoti ar Pasūtītāja ekspluatācijā esošās infrastruktūras tehniskajām prasībām un nepieciešamību nodrošināt savietojamību ar esošajiem stiprinājuma risinājumiem. Līdz ar to Pasūtītājs neparedz atkāpes no noteiktajām prasībām. Pasūtītājam ir sagatavotas statnes un balsteņi, kā arī jauniem aizstātajiem elementiem ir jāiekļaujas esošajā iekārtu klāstā un arī vizuāli tas nedrīkst atšķirties no jau uzstādītajām iekārtām.</w:t>
      </w:r>
    </w:p>
    <w:p w14:paraId="78A8ED1D" w14:textId="77777777" w:rsidR="00901ACF" w:rsidRPr="0077164C" w:rsidRDefault="00901ACF" w:rsidP="00901ACF">
      <w:pPr>
        <w:spacing w:before="240" w:after="120"/>
      </w:pPr>
      <w:r w:rsidRPr="0077164C">
        <w:rPr>
          <w:b/>
          <w:bCs/>
        </w:rPr>
        <w:t>8. jautājums — Satiksmes video detektors TrafiOne (5. pozīcija) — ekvivalenta aizliegums</w:t>
      </w:r>
    </w:p>
    <w:p w14:paraId="039D7ABC" w14:textId="77777777" w:rsidR="00901ACF" w:rsidRPr="0077164C" w:rsidRDefault="00901ACF" w:rsidP="00901ACF">
      <w:pPr>
        <w:spacing w:after="120"/>
        <w:jc w:val="both"/>
      </w:pPr>
      <w:r w:rsidRPr="0077164C">
        <w:lastRenderedPageBreak/>
        <w:t>Tehniskās specifikācijas 5. pozīcijā ir noteikts konkrēts ražojums (TrafiOne) ar piezīmi, ka ekvivalents risinājums nav pieļaujams. PIL 20. panta sestā daļa un Direktīvas 2014/24/ES 42. panta 4. punkts pieļauj atsauci uz konkrētu ražojumu vienīgi izņēmuma kārtā un ar piebildi “vai ekvivalents”; saderības nepieciešamība ar esošo aprīkojumu pati par sevi neatceļ pienākumu pieļaut ekvivalentu, ja pretendents spēj pierādīt pilnīgu savietojamību.</w:t>
      </w:r>
    </w:p>
    <w:p w14:paraId="4B7A21E3" w14:textId="77777777" w:rsidR="00901ACF" w:rsidRPr="0077164C" w:rsidRDefault="00901ACF" w:rsidP="00901ACF">
      <w:pPr>
        <w:spacing w:after="120"/>
        <w:jc w:val="both"/>
      </w:pPr>
      <w:r w:rsidRPr="0077164C">
        <w:t>Lūdzam Pasūtītāju: (a) sniegt detalizētu tehnisko pamatojumu, kāpēc pilnīga savietojamība ar esošajiem detektoru saskarnes blokiem un luksoforu vadības sistēmu nav pierādāma un nodrošināma ar cita ražotāja izstrādājumu; (b) apstiprināt, ka 5. pozīcijā prasīto ražojumu ir tiesīgs piedāvāt jebkurš piegādātājs neatkarīgi no tā, vai tas ir ražotāja “autorizēts” partneris, un ka par pietiekamu tiks atzīta izplatītāju ķēdē likumīgi iegādāta oriģinālā prece ar ražotāja garantiju.</w:t>
      </w:r>
    </w:p>
    <w:p w14:paraId="2772E605" w14:textId="77777777" w:rsidR="00901ACF" w:rsidRPr="0077164C" w:rsidRDefault="00901ACF" w:rsidP="00901ACF">
      <w:pPr>
        <w:spacing w:after="120"/>
        <w:jc w:val="both"/>
      </w:pPr>
      <w:r w:rsidRPr="0077164C">
        <w:rPr>
          <w:b/>
        </w:rPr>
        <w:t>Atbilde.</w:t>
      </w:r>
      <w:r w:rsidRPr="0077164C">
        <w:t xml:space="preserve"> </w:t>
      </w:r>
    </w:p>
    <w:p w14:paraId="355C4E95" w14:textId="77777777" w:rsidR="001A65DC" w:rsidRPr="0077164C" w:rsidRDefault="00901ACF" w:rsidP="001A65DC">
      <w:pPr>
        <w:spacing w:after="120"/>
        <w:jc w:val="both"/>
      </w:pPr>
      <w:r w:rsidRPr="0077164C">
        <w:t xml:space="preserve">Atbilde uz šo jautājumu ir sniegta iepriekšējā skaidrojumā par Tehniskās specifikācijas prasībām attiecībā uz savietojamību ar Pasūtītāja ekspluatācijā esošo sistēmu. Pasūtītājs saglabā iepriekš sniegto skaidrojumu un tehnisko pamatojumu. </w:t>
      </w:r>
    </w:p>
    <w:p w14:paraId="5972797B" w14:textId="53AD2B20" w:rsidR="00901ACF" w:rsidRPr="0077164C" w:rsidRDefault="00901ACF" w:rsidP="001A65DC">
      <w:pPr>
        <w:spacing w:after="120"/>
        <w:jc w:val="both"/>
      </w:pPr>
      <w:r w:rsidRPr="0077164C">
        <w:t>Pasūtītājs iepirkuma dokumentācijā nav izvirzījis prasību, ka konkrēto ražojumu drīkst piedāvāt tikai ražotāja autorizēts pārstāvis vai izplatītājs.</w:t>
      </w:r>
    </w:p>
    <w:p w14:paraId="17AB411F" w14:textId="77777777" w:rsidR="00901ACF" w:rsidRPr="0077164C" w:rsidRDefault="00901ACF" w:rsidP="00901ACF">
      <w:pPr>
        <w:spacing w:after="120"/>
        <w:jc w:val="both"/>
      </w:pPr>
      <w:r w:rsidRPr="0077164C">
        <w:rPr>
          <w:b/>
          <w:bCs/>
        </w:rPr>
        <w:t>9. jautājums — Satiksmes video detektoru saskarnes bloks (6. pozīcija)</w:t>
      </w:r>
    </w:p>
    <w:p w14:paraId="1FEE0925" w14:textId="77777777" w:rsidR="00901ACF" w:rsidRPr="0077164C" w:rsidRDefault="00901ACF" w:rsidP="00901ACF">
      <w:pPr>
        <w:spacing w:after="120"/>
        <w:jc w:val="both"/>
      </w:pPr>
      <w:r w:rsidRPr="0077164C">
        <w:t>Tehniskās specifikācijas 6.7. punkts nosaka prasību pēc saderības ar FLIR Traficam AI, Thermicam AI un TrafiOne kamerām, kas kopā ar 5. pozīciju faktiski nozīmē viena ražotāja saskarnes bloku. Lūdzam apstiprināt, ka 6. pozīcijā tiks pieņemts jebkura ražotāja saskarnes bloks, kas nodrošina visas 6.1.–6.6. punktā noteiktās tehniskās prasības un pilnīgu savietojamību ar norādītajiem detektoru modeļiem, un precizēt, kādā veidā pretendentam šī savietojamība būs jāpierāda (ražotāja dokumentācija, testēšanas pārskats u.c.).</w:t>
      </w:r>
    </w:p>
    <w:p w14:paraId="09E1A3D7" w14:textId="77777777" w:rsidR="00901ACF" w:rsidRPr="0077164C" w:rsidRDefault="00901ACF" w:rsidP="00901ACF">
      <w:pPr>
        <w:spacing w:after="120"/>
        <w:jc w:val="both"/>
      </w:pPr>
      <w:r w:rsidRPr="0077164C">
        <w:rPr>
          <w:b/>
        </w:rPr>
        <w:t>Atbilde.</w:t>
      </w:r>
      <w:r w:rsidRPr="0077164C">
        <w:t xml:space="preserve"> Pasūtītājam ir svarīgs rezultāts – pilnīga savietojamība ar FLIR Traficam AI, Thermicam AI un TrafiOne. Tehniskās specifikācijas 6.7. punktā noteiktā prasība nav attiecināma uz konkrētu saskarnes bloka ražotāju. Par atbilstošu tiks uzskatīts jebkura ražotāja saskarnes bloks, kas nodrošina pilnīgu savietojamību ar Tehniskās specifikācijas 6.7. punktā norādītajiem detektoru modeļiem un atbilst visām pārējām Tehniskās specifikācijas prasībām. Iekārtas nav paredzētas jaunu objektu izbūvei, bet gan kā rezerves daļas jau esošu objektu darbības nodrošināšanai, tādēļ ir ieslēdzamas jau esošos objektos un attiecīgi iekārtām jāspēj iekļauties.</w:t>
      </w:r>
    </w:p>
    <w:p w14:paraId="305728F4" w14:textId="77777777" w:rsidR="00901ACF" w:rsidRPr="0077164C" w:rsidRDefault="00901ACF" w:rsidP="00901ACF">
      <w:pPr>
        <w:spacing w:after="120"/>
        <w:jc w:val="both"/>
        <w:rPr>
          <w:b/>
        </w:rPr>
      </w:pPr>
      <w:r w:rsidRPr="0077164C">
        <w:t>Savietojamība ir jāpierāda, iesniedzot ražotāja tehnisko dokumentāciju vai citus objektīvus pierādījumus, kas nepārprotami apliecina atbilstību Tehniskās specifikācijas prasībām. Pasūtītājs patur tiesības nepieciešamības gadījumā lūgt papildu skaidrojumus vai pierādījumus.</w:t>
      </w:r>
    </w:p>
    <w:p w14:paraId="1ACAD4D0" w14:textId="77777777" w:rsidR="00901ACF" w:rsidRPr="0077164C" w:rsidRDefault="00901ACF" w:rsidP="00901ACF">
      <w:pPr>
        <w:spacing w:before="240" w:after="120"/>
      </w:pPr>
      <w:r w:rsidRPr="0077164C">
        <w:rPr>
          <w:b/>
          <w:bCs/>
        </w:rPr>
        <w:t>10. jautājums — Kontroliera vadība ar Windows datoru (1.6.1. un 1.6.2. punkts)</w:t>
      </w:r>
    </w:p>
    <w:p w14:paraId="7252DD91" w14:textId="77777777" w:rsidR="00901ACF" w:rsidRPr="0077164C" w:rsidRDefault="00901ACF" w:rsidP="00901ACF">
      <w:pPr>
        <w:spacing w:after="120"/>
        <w:jc w:val="both"/>
      </w:pPr>
      <w:r w:rsidRPr="0077164C">
        <w:t>Tehniskās specifikācijas 1.6.1. un 1.6.2. punkts paredz kontroliera vadību, izmantojot iebūvēto WEB-interfeisu / WEB-serveri ar “uz Windows operētājsistēmas bāzētu” datoru. Tā kā tīmekļa pārlūkā balstīta saskarne pēc būtības nav atkarīga no operētājsistēmas, lūdzam apstiprināt, ka prasība ir uzskatāma par izpildītu, ja kontroliera WEB-interfeiss ir pieejams no standarta tīmekļa pārlūkprogrammas, tostarp (bet ne tikai) no Windows vides.</w:t>
      </w:r>
    </w:p>
    <w:p w14:paraId="700AF1BE" w14:textId="77777777" w:rsidR="00901ACF" w:rsidRPr="0077164C" w:rsidRDefault="00901ACF" w:rsidP="00901ACF">
      <w:pPr>
        <w:spacing w:after="120"/>
        <w:jc w:val="both"/>
      </w:pPr>
      <w:r w:rsidRPr="0077164C">
        <w:rPr>
          <w:b/>
        </w:rPr>
        <w:t>Atbilde.</w:t>
      </w:r>
      <w:r w:rsidRPr="0077164C">
        <w:t xml:space="preserve"> Jā. Tehniskās specifikācijas 1.6.1. un 1.6.2. punktā noteiktā prasība ir uzskatāma par izpildītu, ja kontroliera WEB-interfeiss ir pieejams un pilnvērtīgi izmantojams no standarta tīmekļa pārlūkprogrammas Windows operētājsistēmas vidē. Vienlaikus Pasūtītājs neierobežo iespēju, ka attiecīgais WEB-interfeiss ir izmantojams arī citās operētājsistēmās.</w:t>
      </w:r>
    </w:p>
    <w:p w14:paraId="6EE8FFC8" w14:textId="77777777" w:rsidR="00901ACF" w:rsidRPr="0077164C" w:rsidRDefault="00901ACF" w:rsidP="00901ACF">
      <w:pPr>
        <w:spacing w:before="240" w:after="120"/>
      </w:pPr>
      <w:r w:rsidRPr="0077164C">
        <w:rPr>
          <w:b/>
          <w:bCs/>
        </w:rPr>
        <w:t>11. jautājums — Piedāvājumu iesniegšanas termiņš</w:t>
      </w:r>
    </w:p>
    <w:p w14:paraId="7BA97BF0" w14:textId="77777777" w:rsidR="00901ACF" w:rsidRPr="0077164C" w:rsidRDefault="00901ACF" w:rsidP="00901ACF">
      <w:pPr>
        <w:spacing w:after="120"/>
        <w:jc w:val="both"/>
      </w:pPr>
      <w:r w:rsidRPr="0077164C">
        <w:t>Ņemot vērā, ka atbildes uz šiem jautājumiem un iespējamie Tehniskās specifikācijas precizējumi ir būtiski piedāvājuma sagatavošanai (tostarp cenas aprēķinam, ražotāju dokumentācijas un savietojamības apliecinājumu saņemšanai), kā arī ņemot vērā, ka informācija par esošo sistēmu visiem ieinteresētajiem piegādātājiem EIS vēl nav publicēta, lūdzam Pasūtītāju pagarināt piedāvājumu iesniegšanas termiņu tā, lai pēc pilnīgas informācijas publicēšanas EIS visiem ieinteresētajiem piegādātājiem tiktu nodrošināts pietiekams un vienlīdzīgs laiks piedāvājumu sagatavošanai.</w:t>
      </w:r>
    </w:p>
    <w:p w14:paraId="30048FC3" w14:textId="77777777" w:rsidR="00901ACF" w:rsidRPr="0077164C" w:rsidRDefault="00901ACF" w:rsidP="00901ACF">
      <w:pPr>
        <w:spacing w:before="240"/>
        <w:jc w:val="both"/>
      </w:pPr>
      <w:r w:rsidRPr="0077164C">
        <w:rPr>
          <w:b/>
        </w:rPr>
        <w:lastRenderedPageBreak/>
        <w:t>Atbilde.</w:t>
      </w:r>
      <w:r w:rsidRPr="0077164C">
        <w:t xml:space="preserve"> Pasūtītāja ieskatā izteiktais lūgums nav pamatots un piedāvājumu iesniegšanas termiņš netiks pagarināts.</w:t>
      </w:r>
    </w:p>
    <w:p w14:paraId="3A0C0322" w14:textId="77777777" w:rsidR="00901ACF" w:rsidRPr="0077164C" w:rsidRDefault="00901ACF" w:rsidP="00901ACF">
      <w:pPr>
        <w:spacing w:after="120"/>
        <w:jc w:val="both"/>
      </w:pPr>
      <w:r w:rsidRPr="0077164C">
        <w:t>Ja tiek saņemts ieinteresētā piegādātāja pieprasījums par informāciju par esošo sistēmu, no Pasūtītāja puses nekavējoties tiek sniegta informācija. Lūguma par piedāvājumu iesniegšanas termiņa pagarināšanu izteicējs to var apliecināt. Visiem ieinteresētajiem piegādātājiem ir vienādas tiesības iegūt informāciju un Pasūtītāja rīcībā nav pilnvarojums, kas apliecinātu lūguma par piedāvājumu iesniegšanas termiņa pagarināšanu izteicēja tiesības pārstāvēt citus ieinteresētos piegādātājus.</w:t>
      </w:r>
    </w:p>
    <w:p w14:paraId="79E0FA47" w14:textId="3EFDE7B8" w:rsidR="00901ACF" w:rsidRDefault="69F3FD7F" w:rsidP="00901ACF">
      <w:pPr>
        <w:spacing w:after="120"/>
        <w:jc w:val="both"/>
      </w:pPr>
      <w:r>
        <w:t>Tāpat vēršama uzmanība, ka pirms šī iepirkuma izsludināšanas bija arī apspriede ar ieinteresētajiem piegādātājiem pirms atklāta konkursa ar komentāru/priekšlikumu iesniegšanas termiņu līdz 2026.gada 16.jūlijam (ieskaitot). Ikvienam ieinteresētajam piegādātājam bija iespēja šajā apspriedē ņemt dalību</w:t>
      </w:r>
      <w:r w:rsidR="417BAB02">
        <w:t>, bet, diemžēl, neviens no ieinte</w:t>
      </w:r>
      <w:r w:rsidR="007C0084">
        <w:t>re</w:t>
      </w:r>
      <w:r w:rsidR="2B3745C5">
        <w:t>s</w:t>
      </w:r>
      <w:r w:rsidR="417BAB02">
        <w:t>ētajiem pie</w:t>
      </w:r>
      <w:r w:rsidR="204DB16C">
        <w:t>g</w:t>
      </w:r>
      <w:r w:rsidR="417BAB02">
        <w:t>ādātājiem apspriedē nepiedalījās.</w:t>
      </w:r>
    </w:p>
    <w:p w14:paraId="4C75CCA7" w14:textId="3020B616" w:rsidR="009C1B98" w:rsidRPr="00971E9E" w:rsidRDefault="00971E9E" w:rsidP="00971E9E">
      <w:pPr>
        <w:rPr>
          <w:rFonts w:eastAsia="Calibri"/>
          <w:b/>
          <w:lang w:eastAsia="en-US"/>
        </w:rPr>
      </w:pPr>
      <w:r>
        <w:t xml:space="preserve"> </w:t>
      </w:r>
    </w:p>
    <w:p w14:paraId="75580B26" w14:textId="1E0B0EF3" w:rsidR="7C1ABB26" w:rsidRDefault="7C1ABB26" w:rsidP="7C1ABB26"/>
    <w:p w14:paraId="1602CA89" w14:textId="4BA6976B" w:rsidR="7C1ABB26" w:rsidRDefault="7C1ABB26" w:rsidP="7C1ABB26"/>
    <w:p w14:paraId="61127CE1" w14:textId="5B23B1F6" w:rsidR="0043483C" w:rsidRPr="003D3D3F" w:rsidRDefault="0043483C" w:rsidP="0043483C"/>
    <w:sectPr w:rsidR="0043483C" w:rsidRPr="003D3D3F" w:rsidSect="00821813">
      <w:pgSz w:w="11906" w:h="16838"/>
      <w:pgMar w:top="993" w:right="707" w:bottom="426"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4C011" w14:textId="77777777" w:rsidR="0090428D" w:rsidRDefault="0090428D" w:rsidP="004532BB">
      <w:r>
        <w:separator/>
      </w:r>
    </w:p>
  </w:endnote>
  <w:endnote w:type="continuationSeparator" w:id="0">
    <w:p w14:paraId="33A7550F" w14:textId="77777777" w:rsidR="0090428D" w:rsidRDefault="0090428D" w:rsidP="00453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EBD93" w14:textId="77777777" w:rsidR="0090428D" w:rsidRDefault="0090428D" w:rsidP="004532BB">
      <w:r>
        <w:separator/>
      </w:r>
    </w:p>
  </w:footnote>
  <w:footnote w:type="continuationSeparator" w:id="0">
    <w:p w14:paraId="590AA8FC" w14:textId="77777777" w:rsidR="0090428D" w:rsidRDefault="0090428D" w:rsidP="004532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7542B"/>
    <w:multiLevelType w:val="hybridMultilevel"/>
    <w:tmpl w:val="DAC8EA42"/>
    <w:lvl w:ilvl="0" w:tplc="B144236A">
      <w:start w:val="1"/>
      <w:numFmt w:val="decimal"/>
      <w:lvlText w:val="%1."/>
      <w:lvlJc w:val="left"/>
      <w:pPr>
        <w:ind w:left="1069" w:hanging="360"/>
      </w:pPr>
      <w:rPr>
        <w:rFonts w:hint="default"/>
        <w:b/>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 w15:restartNumberingAfterBreak="0">
    <w:nsid w:val="17F07994"/>
    <w:multiLevelType w:val="hybridMultilevel"/>
    <w:tmpl w:val="536A67AE"/>
    <w:lvl w:ilvl="0" w:tplc="0BE6F0BE">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E0856B0"/>
    <w:multiLevelType w:val="hybridMultilevel"/>
    <w:tmpl w:val="7E9246A6"/>
    <w:lvl w:ilvl="0" w:tplc="728E4A66">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ED91AF9"/>
    <w:multiLevelType w:val="hybridMultilevel"/>
    <w:tmpl w:val="0340149E"/>
    <w:lvl w:ilvl="0" w:tplc="3EAE259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211D0BF1"/>
    <w:multiLevelType w:val="hybridMultilevel"/>
    <w:tmpl w:val="85CC62CE"/>
    <w:lvl w:ilvl="0" w:tplc="0426000B">
      <w:start w:val="1"/>
      <w:numFmt w:val="bullet"/>
      <w:lvlText w:val=""/>
      <w:lvlJc w:val="left"/>
      <w:pPr>
        <w:ind w:left="720" w:hanging="360"/>
      </w:pPr>
      <w:rPr>
        <w:rFonts w:ascii="Wingdings" w:hAnsi="Wingding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3244FFC"/>
    <w:multiLevelType w:val="hybridMultilevel"/>
    <w:tmpl w:val="83EC8ED8"/>
    <w:lvl w:ilvl="0" w:tplc="529EDB76">
      <w:start w:val="3"/>
      <w:numFmt w:val="bullet"/>
      <w:lvlText w:val=""/>
      <w:lvlJc w:val="left"/>
      <w:pPr>
        <w:ind w:left="720" w:hanging="360"/>
      </w:pPr>
      <w:rPr>
        <w:rFonts w:ascii="Symbol" w:eastAsiaTheme="minorHAnsi" w:hAnsi="Symbol" w:cstheme="minorBid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3D01F56"/>
    <w:multiLevelType w:val="hybridMultilevel"/>
    <w:tmpl w:val="C8C235B8"/>
    <w:lvl w:ilvl="0" w:tplc="94585A8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BD7236C"/>
    <w:multiLevelType w:val="multilevel"/>
    <w:tmpl w:val="1ACC78BA"/>
    <w:lvl w:ilvl="0">
      <w:start w:val="3"/>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8" w15:restartNumberingAfterBreak="0">
    <w:nsid w:val="2DCB78FF"/>
    <w:multiLevelType w:val="hybridMultilevel"/>
    <w:tmpl w:val="E26CD38A"/>
    <w:lvl w:ilvl="0" w:tplc="529EDB76">
      <w:start w:val="3"/>
      <w:numFmt w:val="bullet"/>
      <w:lvlText w:val=""/>
      <w:lvlJc w:val="left"/>
      <w:pPr>
        <w:ind w:left="1080" w:hanging="360"/>
      </w:pPr>
      <w:rPr>
        <w:rFonts w:ascii="Symbol" w:eastAsiaTheme="minorHAnsi" w:hAnsi="Symbol"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30AD77BD"/>
    <w:multiLevelType w:val="hybridMultilevel"/>
    <w:tmpl w:val="58F0760A"/>
    <w:lvl w:ilvl="0" w:tplc="CA3C1C16">
      <w:start w:val="1"/>
      <w:numFmt w:val="decimal"/>
      <w:lvlText w:val="%1."/>
      <w:lvlJc w:val="left"/>
      <w:pPr>
        <w:ind w:left="720" w:hanging="360"/>
      </w:pPr>
    </w:lvl>
    <w:lvl w:ilvl="1" w:tplc="F51E1B3A">
      <w:start w:val="1"/>
      <w:numFmt w:val="lowerLetter"/>
      <w:lvlText w:val="%2."/>
      <w:lvlJc w:val="left"/>
      <w:pPr>
        <w:ind w:left="1440" w:hanging="360"/>
      </w:pPr>
    </w:lvl>
    <w:lvl w:ilvl="2" w:tplc="FE127D3A">
      <w:start w:val="1"/>
      <w:numFmt w:val="lowerRoman"/>
      <w:lvlText w:val="%3."/>
      <w:lvlJc w:val="right"/>
      <w:pPr>
        <w:ind w:left="2160" w:hanging="180"/>
      </w:pPr>
    </w:lvl>
    <w:lvl w:ilvl="3" w:tplc="8A7A0B02">
      <w:start w:val="1"/>
      <w:numFmt w:val="decimal"/>
      <w:lvlText w:val="%4."/>
      <w:lvlJc w:val="left"/>
      <w:pPr>
        <w:ind w:left="2880" w:hanging="360"/>
      </w:pPr>
    </w:lvl>
    <w:lvl w:ilvl="4" w:tplc="8A6CEA52">
      <w:start w:val="1"/>
      <w:numFmt w:val="lowerLetter"/>
      <w:lvlText w:val="%5."/>
      <w:lvlJc w:val="left"/>
      <w:pPr>
        <w:ind w:left="3600" w:hanging="360"/>
      </w:pPr>
    </w:lvl>
    <w:lvl w:ilvl="5" w:tplc="F81E63F0">
      <w:start w:val="1"/>
      <w:numFmt w:val="lowerRoman"/>
      <w:lvlText w:val="%6."/>
      <w:lvlJc w:val="right"/>
      <w:pPr>
        <w:ind w:left="4320" w:hanging="180"/>
      </w:pPr>
    </w:lvl>
    <w:lvl w:ilvl="6" w:tplc="82B030B4">
      <w:start w:val="1"/>
      <w:numFmt w:val="decimal"/>
      <w:lvlText w:val="%7."/>
      <w:lvlJc w:val="left"/>
      <w:pPr>
        <w:ind w:left="5040" w:hanging="360"/>
      </w:pPr>
    </w:lvl>
    <w:lvl w:ilvl="7" w:tplc="D804CBFA">
      <w:start w:val="1"/>
      <w:numFmt w:val="lowerLetter"/>
      <w:lvlText w:val="%8."/>
      <w:lvlJc w:val="left"/>
      <w:pPr>
        <w:ind w:left="5760" w:hanging="360"/>
      </w:pPr>
    </w:lvl>
    <w:lvl w:ilvl="8" w:tplc="D03E8C2A">
      <w:start w:val="1"/>
      <w:numFmt w:val="lowerRoman"/>
      <w:lvlText w:val="%9."/>
      <w:lvlJc w:val="right"/>
      <w:pPr>
        <w:ind w:left="6480" w:hanging="180"/>
      </w:pPr>
    </w:lvl>
  </w:abstractNum>
  <w:abstractNum w:abstractNumId="10" w15:restartNumberingAfterBreak="0">
    <w:nsid w:val="3127673E"/>
    <w:multiLevelType w:val="multilevel"/>
    <w:tmpl w:val="30F20A6E"/>
    <w:lvl w:ilvl="0">
      <w:start w:val="1"/>
      <w:numFmt w:val="decimal"/>
      <w:lvlText w:val="%1."/>
      <w:lvlJc w:val="left"/>
      <w:pPr>
        <w:ind w:left="360" w:hanging="360"/>
      </w:pPr>
      <w:rPr>
        <w:rFonts w:ascii="Times New Roman" w:eastAsiaTheme="minorHAnsi" w:hAnsi="Times New Roman" w:cs="Times New Roman" w:hint="default"/>
        <w:b/>
        <w:bCs/>
        <w:i w:val="0"/>
        <w:iCs w:val="0"/>
      </w:r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19B3B51"/>
    <w:multiLevelType w:val="multilevel"/>
    <w:tmpl w:val="A6CE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A090C2"/>
    <w:multiLevelType w:val="hybridMultilevel"/>
    <w:tmpl w:val="73D4EEA6"/>
    <w:lvl w:ilvl="0" w:tplc="FC6C849A">
      <w:start w:val="1"/>
      <w:numFmt w:val="decimal"/>
      <w:lvlText w:val="%1."/>
      <w:lvlJc w:val="left"/>
      <w:pPr>
        <w:ind w:left="720" w:hanging="360"/>
      </w:pPr>
    </w:lvl>
    <w:lvl w:ilvl="1" w:tplc="6C708BF0">
      <w:start w:val="1"/>
      <w:numFmt w:val="lowerLetter"/>
      <w:lvlText w:val="%2."/>
      <w:lvlJc w:val="left"/>
      <w:pPr>
        <w:ind w:left="1440" w:hanging="360"/>
      </w:pPr>
    </w:lvl>
    <w:lvl w:ilvl="2" w:tplc="EBBC52F0">
      <w:start w:val="1"/>
      <w:numFmt w:val="lowerRoman"/>
      <w:lvlText w:val="%3."/>
      <w:lvlJc w:val="right"/>
      <w:pPr>
        <w:ind w:left="2160" w:hanging="180"/>
      </w:pPr>
    </w:lvl>
    <w:lvl w:ilvl="3" w:tplc="598CE2D6">
      <w:start w:val="1"/>
      <w:numFmt w:val="decimal"/>
      <w:lvlText w:val="%4."/>
      <w:lvlJc w:val="left"/>
      <w:pPr>
        <w:ind w:left="2880" w:hanging="360"/>
      </w:pPr>
    </w:lvl>
    <w:lvl w:ilvl="4" w:tplc="BC661D1E">
      <w:start w:val="1"/>
      <w:numFmt w:val="lowerLetter"/>
      <w:lvlText w:val="%5."/>
      <w:lvlJc w:val="left"/>
      <w:pPr>
        <w:ind w:left="3600" w:hanging="360"/>
      </w:pPr>
    </w:lvl>
    <w:lvl w:ilvl="5" w:tplc="8B4C7550">
      <w:start w:val="1"/>
      <w:numFmt w:val="lowerRoman"/>
      <w:lvlText w:val="%6."/>
      <w:lvlJc w:val="right"/>
      <w:pPr>
        <w:ind w:left="4320" w:hanging="180"/>
      </w:pPr>
    </w:lvl>
    <w:lvl w:ilvl="6" w:tplc="F9BE89C8">
      <w:start w:val="1"/>
      <w:numFmt w:val="decimal"/>
      <w:lvlText w:val="%7."/>
      <w:lvlJc w:val="left"/>
      <w:pPr>
        <w:ind w:left="5040" w:hanging="360"/>
      </w:pPr>
    </w:lvl>
    <w:lvl w:ilvl="7" w:tplc="2C46F7B0">
      <w:start w:val="1"/>
      <w:numFmt w:val="lowerLetter"/>
      <w:lvlText w:val="%8."/>
      <w:lvlJc w:val="left"/>
      <w:pPr>
        <w:ind w:left="5760" w:hanging="360"/>
      </w:pPr>
    </w:lvl>
    <w:lvl w:ilvl="8" w:tplc="E1FC24B2">
      <w:start w:val="1"/>
      <w:numFmt w:val="lowerRoman"/>
      <w:lvlText w:val="%9."/>
      <w:lvlJc w:val="right"/>
      <w:pPr>
        <w:ind w:left="6480" w:hanging="180"/>
      </w:pPr>
    </w:lvl>
  </w:abstractNum>
  <w:abstractNum w:abstractNumId="13" w15:restartNumberingAfterBreak="0">
    <w:nsid w:val="55D75EF8"/>
    <w:multiLevelType w:val="multilevel"/>
    <w:tmpl w:val="1AA46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BC11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D5C23DB"/>
    <w:multiLevelType w:val="multilevel"/>
    <w:tmpl w:val="94121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34673F"/>
    <w:multiLevelType w:val="hybridMultilevel"/>
    <w:tmpl w:val="CFA8D464"/>
    <w:lvl w:ilvl="0" w:tplc="D4F65838">
      <w:start w:val="5"/>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7" w15:restartNumberingAfterBreak="0">
    <w:nsid w:val="7F0238FC"/>
    <w:multiLevelType w:val="hybridMultilevel"/>
    <w:tmpl w:val="D780D41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F9C613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50080906">
    <w:abstractNumId w:val="9"/>
  </w:num>
  <w:num w:numId="2" w16cid:durableId="907226315">
    <w:abstractNumId w:val="12"/>
  </w:num>
  <w:num w:numId="3" w16cid:durableId="515729949">
    <w:abstractNumId w:val="18"/>
  </w:num>
  <w:num w:numId="4" w16cid:durableId="555169069">
    <w:abstractNumId w:val="11"/>
  </w:num>
  <w:num w:numId="5" w16cid:durableId="637732527">
    <w:abstractNumId w:val="15"/>
  </w:num>
  <w:num w:numId="6" w16cid:durableId="476724360">
    <w:abstractNumId w:val="13"/>
  </w:num>
  <w:num w:numId="7" w16cid:durableId="123163628">
    <w:abstractNumId w:val="17"/>
  </w:num>
  <w:num w:numId="8" w16cid:durableId="1733961788">
    <w:abstractNumId w:val="0"/>
  </w:num>
  <w:num w:numId="9" w16cid:durableId="869101231">
    <w:abstractNumId w:val="10"/>
  </w:num>
  <w:num w:numId="10" w16cid:durableId="2115317955">
    <w:abstractNumId w:val="6"/>
  </w:num>
  <w:num w:numId="11" w16cid:durableId="1047025692">
    <w:abstractNumId w:val="16"/>
  </w:num>
  <w:num w:numId="12" w16cid:durableId="1681588412">
    <w:abstractNumId w:val="3"/>
  </w:num>
  <w:num w:numId="13" w16cid:durableId="1758748543">
    <w:abstractNumId w:val="2"/>
  </w:num>
  <w:num w:numId="14" w16cid:durableId="1381443915">
    <w:abstractNumId w:val="8"/>
  </w:num>
  <w:num w:numId="15" w16cid:durableId="221328019">
    <w:abstractNumId w:val="1"/>
  </w:num>
  <w:num w:numId="16" w16cid:durableId="590159026">
    <w:abstractNumId w:val="4"/>
  </w:num>
  <w:num w:numId="17" w16cid:durableId="983005990">
    <w:abstractNumId w:val="5"/>
  </w:num>
  <w:num w:numId="18" w16cid:durableId="1709186711">
    <w:abstractNumId w:val="14"/>
  </w:num>
  <w:num w:numId="19" w16cid:durableId="8571638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559"/>
    <w:rsid w:val="000029FF"/>
    <w:rsid w:val="00005433"/>
    <w:rsid w:val="00011AE1"/>
    <w:rsid w:val="00012131"/>
    <w:rsid w:val="00024717"/>
    <w:rsid w:val="00026AA9"/>
    <w:rsid w:val="00035FF8"/>
    <w:rsid w:val="000439AB"/>
    <w:rsid w:val="00043F0D"/>
    <w:rsid w:val="00053DA3"/>
    <w:rsid w:val="0006530D"/>
    <w:rsid w:val="00070E79"/>
    <w:rsid w:val="00080B4A"/>
    <w:rsid w:val="000A0B94"/>
    <w:rsid w:val="000A167F"/>
    <w:rsid w:val="000A3AEB"/>
    <w:rsid w:val="000A722D"/>
    <w:rsid w:val="000B5B70"/>
    <w:rsid w:val="000B6169"/>
    <w:rsid w:val="000C1FB4"/>
    <w:rsid w:val="000C3831"/>
    <w:rsid w:val="000D012C"/>
    <w:rsid w:val="000D1350"/>
    <w:rsid w:val="000D257C"/>
    <w:rsid w:val="000D3681"/>
    <w:rsid w:val="000D3FB0"/>
    <w:rsid w:val="000D51D0"/>
    <w:rsid w:val="000E45AD"/>
    <w:rsid w:val="000F1152"/>
    <w:rsid w:val="000F5BA9"/>
    <w:rsid w:val="000F7A41"/>
    <w:rsid w:val="00104AA5"/>
    <w:rsid w:val="001055FE"/>
    <w:rsid w:val="0011482E"/>
    <w:rsid w:val="00114E92"/>
    <w:rsid w:val="00130157"/>
    <w:rsid w:val="00136968"/>
    <w:rsid w:val="00142299"/>
    <w:rsid w:val="00145D58"/>
    <w:rsid w:val="00155334"/>
    <w:rsid w:val="001642BC"/>
    <w:rsid w:val="001675BF"/>
    <w:rsid w:val="00170133"/>
    <w:rsid w:val="001713B3"/>
    <w:rsid w:val="00172D51"/>
    <w:rsid w:val="00173B06"/>
    <w:rsid w:val="00173BD9"/>
    <w:rsid w:val="00173E7E"/>
    <w:rsid w:val="0017478D"/>
    <w:rsid w:val="00176374"/>
    <w:rsid w:val="001807CB"/>
    <w:rsid w:val="00181C13"/>
    <w:rsid w:val="0018662A"/>
    <w:rsid w:val="00186A10"/>
    <w:rsid w:val="00187666"/>
    <w:rsid w:val="0019229F"/>
    <w:rsid w:val="001A36AA"/>
    <w:rsid w:val="001A551E"/>
    <w:rsid w:val="001A5570"/>
    <w:rsid w:val="001A5BCF"/>
    <w:rsid w:val="001A65DC"/>
    <w:rsid w:val="001B0F3D"/>
    <w:rsid w:val="001C0358"/>
    <w:rsid w:val="001C3268"/>
    <w:rsid w:val="001D1F7B"/>
    <w:rsid w:val="001D5059"/>
    <w:rsid w:val="001E6259"/>
    <w:rsid w:val="001F10D7"/>
    <w:rsid w:val="001F1E12"/>
    <w:rsid w:val="001F2CC0"/>
    <w:rsid w:val="002010C4"/>
    <w:rsid w:val="00201559"/>
    <w:rsid w:val="0020246B"/>
    <w:rsid w:val="002222B6"/>
    <w:rsid w:val="002223EE"/>
    <w:rsid w:val="002275DC"/>
    <w:rsid w:val="00231168"/>
    <w:rsid w:val="00232B20"/>
    <w:rsid w:val="00232B70"/>
    <w:rsid w:val="0024489F"/>
    <w:rsid w:val="0025180B"/>
    <w:rsid w:val="00252C52"/>
    <w:rsid w:val="00252D76"/>
    <w:rsid w:val="00253DDE"/>
    <w:rsid w:val="0025541E"/>
    <w:rsid w:val="002618CD"/>
    <w:rsid w:val="0026690A"/>
    <w:rsid w:val="00270125"/>
    <w:rsid w:val="00273A30"/>
    <w:rsid w:val="00275DBE"/>
    <w:rsid w:val="002808C8"/>
    <w:rsid w:val="00282253"/>
    <w:rsid w:val="0028505C"/>
    <w:rsid w:val="0028540E"/>
    <w:rsid w:val="002874AB"/>
    <w:rsid w:val="00294CB6"/>
    <w:rsid w:val="00297AD8"/>
    <w:rsid w:val="002A5988"/>
    <w:rsid w:val="002A6854"/>
    <w:rsid w:val="002B3C38"/>
    <w:rsid w:val="002B4E16"/>
    <w:rsid w:val="002B4ED0"/>
    <w:rsid w:val="002C5DC1"/>
    <w:rsid w:val="002D0A09"/>
    <w:rsid w:val="002D3DC5"/>
    <w:rsid w:val="002D4957"/>
    <w:rsid w:val="002E3AF1"/>
    <w:rsid w:val="002E48E6"/>
    <w:rsid w:val="002E65FB"/>
    <w:rsid w:val="002F41F3"/>
    <w:rsid w:val="002F50D0"/>
    <w:rsid w:val="002F6525"/>
    <w:rsid w:val="00306B8B"/>
    <w:rsid w:val="003075ED"/>
    <w:rsid w:val="00315D35"/>
    <w:rsid w:val="00320D7A"/>
    <w:rsid w:val="00322858"/>
    <w:rsid w:val="003238D1"/>
    <w:rsid w:val="003264D9"/>
    <w:rsid w:val="003265C8"/>
    <w:rsid w:val="00332AE4"/>
    <w:rsid w:val="003338E9"/>
    <w:rsid w:val="00334B4F"/>
    <w:rsid w:val="0033760E"/>
    <w:rsid w:val="003420A2"/>
    <w:rsid w:val="0035041D"/>
    <w:rsid w:val="00350917"/>
    <w:rsid w:val="00351120"/>
    <w:rsid w:val="00351772"/>
    <w:rsid w:val="00351BDF"/>
    <w:rsid w:val="00353306"/>
    <w:rsid w:val="00354A95"/>
    <w:rsid w:val="00355764"/>
    <w:rsid w:val="00366154"/>
    <w:rsid w:val="003679B0"/>
    <w:rsid w:val="003712D8"/>
    <w:rsid w:val="0037477D"/>
    <w:rsid w:val="003813EB"/>
    <w:rsid w:val="00385660"/>
    <w:rsid w:val="003A21EE"/>
    <w:rsid w:val="003B0EFC"/>
    <w:rsid w:val="003B1F40"/>
    <w:rsid w:val="003B75B0"/>
    <w:rsid w:val="003C297E"/>
    <w:rsid w:val="003C513F"/>
    <w:rsid w:val="003C7652"/>
    <w:rsid w:val="003D0DDD"/>
    <w:rsid w:val="003D3D3F"/>
    <w:rsid w:val="003E2A88"/>
    <w:rsid w:val="003F6A7F"/>
    <w:rsid w:val="004029CD"/>
    <w:rsid w:val="004034B1"/>
    <w:rsid w:val="00407401"/>
    <w:rsid w:val="00415562"/>
    <w:rsid w:val="00425681"/>
    <w:rsid w:val="0043483C"/>
    <w:rsid w:val="00435A74"/>
    <w:rsid w:val="004367FD"/>
    <w:rsid w:val="00437908"/>
    <w:rsid w:val="00441DD4"/>
    <w:rsid w:val="0044278A"/>
    <w:rsid w:val="00444879"/>
    <w:rsid w:val="00445CB0"/>
    <w:rsid w:val="004514EA"/>
    <w:rsid w:val="004532BB"/>
    <w:rsid w:val="00460361"/>
    <w:rsid w:val="00460812"/>
    <w:rsid w:val="004608F2"/>
    <w:rsid w:val="00462CB1"/>
    <w:rsid w:val="004641B2"/>
    <w:rsid w:val="004655F2"/>
    <w:rsid w:val="00470846"/>
    <w:rsid w:val="00471DBB"/>
    <w:rsid w:val="00473363"/>
    <w:rsid w:val="004765E5"/>
    <w:rsid w:val="0047798E"/>
    <w:rsid w:val="00480289"/>
    <w:rsid w:val="00481AE1"/>
    <w:rsid w:val="0048375E"/>
    <w:rsid w:val="00485BC7"/>
    <w:rsid w:val="00492F01"/>
    <w:rsid w:val="00496B3C"/>
    <w:rsid w:val="00496BFD"/>
    <w:rsid w:val="004A3181"/>
    <w:rsid w:val="004A3B84"/>
    <w:rsid w:val="004A5070"/>
    <w:rsid w:val="004A5249"/>
    <w:rsid w:val="004B1571"/>
    <w:rsid w:val="004B25D5"/>
    <w:rsid w:val="004B6B47"/>
    <w:rsid w:val="004C2365"/>
    <w:rsid w:val="004C68DA"/>
    <w:rsid w:val="004E1C60"/>
    <w:rsid w:val="004E6498"/>
    <w:rsid w:val="004F2812"/>
    <w:rsid w:val="004F7DE7"/>
    <w:rsid w:val="00505203"/>
    <w:rsid w:val="00507B50"/>
    <w:rsid w:val="0051270C"/>
    <w:rsid w:val="00514091"/>
    <w:rsid w:val="00525808"/>
    <w:rsid w:val="00526AA0"/>
    <w:rsid w:val="00530CCC"/>
    <w:rsid w:val="00536B13"/>
    <w:rsid w:val="005474FA"/>
    <w:rsid w:val="00551BBC"/>
    <w:rsid w:val="0055484A"/>
    <w:rsid w:val="00561227"/>
    <w:rsid w:val="0057062C"/>
    <w:rsid w:val="005716B2"/>
    <w:rsid w:val="00574525"/>
    <w:rsid w:val="00576968"/>
    <w:rsid w:val="00577963"/>
    <w:rsid w:val="00577ECF"/>
    <w:rsid w:val="005838F3"/>
    <w:rsid w:val="0059434A"/>
    <w:rsid w:val="005A0FAE"/>
    <w:rsid w:val="005A6E3B"/>
    <w:rsid w:val="005A76C6"/>
    <w:rsid w:val="005A7D98"/>
    <w:rsid w:val="005B3989"/>
    <w:rsid w:val="005B6B92"/>
    <w:rsid w:val="005C2942"/>
    <w:rsid w:val="005D69BB"/>
    <w:rsid w:val="005E2482"/>
    <w:rsid w:val="005E7CAD"/>
    <w:rsid w:val="005F30ED"/>
    <w:rsid w:val="00600ACC"/>
    <w:rsid w:val="0060271F"/>
    <w:rsid w:val="006052A4"/>
    <w:rsid w:val="006058B1"/>
    <w:rsid w:val="0061050C"/>
    <w:rsid w:val="00623274"/>
    <w:rsid w:val="00626BAD"/>
    <w:rsid w:val="00627267"/>
    <w:rsid w:val="006304EC"/>
    <w:rsid w:val="00630B32"/>
    <w:rsid w:val="00630C23"/>
    <w:rsid w:val="0063173A"/>
    <w:rsid w:val="00632EF0"/>
    <w:rsid w:val="00637317"/>
    <w:rsid w:val="00640833"/>
    <w:rsid w:val="0064094B"/>
    <w:rsid w:val="006410F6"/>
    <w:rsid w:val="00642402"/>
    <w:rsid w:val="00650AFF"/>
    <w:rsid w:val="00655AFA"/>
    <w:rsid w:val="006568B8"/>
    <w:rsid w:val="0066536C"/>
    <w:rsid w:val="00667641"/>
    <w:rsid w:val="00677E3B"/>
    <w:rsid w:val="0068196A"/>
    <w:rsid w:val="006827DF"/>
    <w:rsid w:val="0069301F"/>
    <w:rsid w:val="00694B98"/>
    <w:rsid w:val="006A035B"/>
    <w:rsid w:val="006A6FB0"/>
    <w:rsid w:val="006B4B3E"/>
    <w:rsid w:val="006B4BD2"/>
    <w:rsid w:val="006C3B4D"/>
    <w:rsid w:val="006C4811"/>
    <w:rsid w:val="006D0576"/>
    <w:rsid w:val="006D25C1"/>
    <w:rsid w:val="006D301F"/>
    <w:rsid w:val="006E07F2"/>
    <w:rsid w:val="006E5C28"/>
    <w:rsid w:val="006E6A02"/>
    <w:rsid w:val="006F1033"/>
    <w:rsid w:val="006F5E73"/>
    <w:rsid w:val="00705407"/>
    <w:rsid w:val="00706CF5"/>
    <w:rsid w:val="007122F7"/>
    <w:rsid w:val="00713532"/>
    <w:rsid w:val="00717E05"/>
    <w:rsid w:val="007212EF"/>
    <w:rsid w:val="00722B7E"/>
    <w:rsid w:val="00724087"/>
    <w:rsid w:val="00727FDE"/>
    <w:rsid w:val="00734510"/>
    <w:rsid w:val="00743856"/>
    <w:rsid w:val="00744DF2"/>
    <w:rsid w:val="00751E24"/>
    <w:rsid w:val="00754403"/>
    <w:rsid w:val="007549CA"/>
    <w:rsid w:val="00756FBA"/>
    <w:rsid w:val="00760C7F"/>
    <w:rsid w:val="00762906"/>
    <w:rsid w:val="00763771"/>
    <w:rsid w:val="00765386"/>
    <w:rsid w:val="007655B3"/>
    <w:rsid w:val="0077164C"/>
    <w:rsid w:val="007722EE"/>
    <w:rsid w:val="007725DA"/>
    <w:rsid w:val="007727AE"/>
    <w:rsid w:val="007739F8"/>
    <w:rsid w:val="007764BD"/>
    <w:rsid w:val="007826AD"/>
    <w:rsid w:val="007873A0"/>
    <w:rsid w:val="007937EB"/>
    <w:rsid w:val="007A413A"/>
    <w:rsid w:val="007A7334"/>
    <w:rsid w:val="007B0C68"/>
    <w:rsid w:val="007C0084"/>
    <w:rsid w:val="007C7AEE"/>
    <w:rsid w:val="007D050C"/>
    <w:rsid w:val="007D3C05"/>
    <w:rsid w:val="007D5EAA"/>
    <w:rsid w:val="007F7A0B"/>
    <w:rsid w:val="00800C7F"/>
    <w:rsid w:val="008018F2"/>
    <w:rsid w:val="008054BD"/>
    <w:rsid w:val="00807B8D"/>
    <w:rsid w:val="008119CC"/>
    <w:rsid w:val="00811C45"/>
    <w:rsid w:val="00815DCC"/>
    <w:rsid w:val="00821813"/>
    <w:rsid w:val="00830758"/>
    <w:rsid w:val="008368D3"/>
    <w:rsid w:val="00841E62"/>
    <w:rsid w:val="008500D8"/>
    <w:rsid w:val="0085060B"/>
    <w:rsid w:val="00850B3F"/>
    <w:rsid w:val="008562F0"/>
    <w:rsid w:val="00857F66"/>
    <w:rsid w:val="0086087B"/>
    <w:rsid w:val="00864761"/>
    <w:rsid w:val="00871F2C"/>
    <w:rsid w:val="00876188"/>
    <w:rsid w:val="00884083"/>
    <w:rsid w:val="00884AF9"/>
    <w:rsid w:val="00885E64"/>
    <w:rsid w:val="00891234"/>
    <w:rsid w:val="008931D3"/>
    <w:rsid w:val="00896F23"/>
    <w:rsid w:val="008A095B"/>
    <w:rsid w:val="008A3FFF"/>
    <w:rsid w:val="008B02C7"/>
    <w:rsid w:val="008B1A65"/>
    <w:rsid w:val="008B1C64"/>
    <w:rsid w:val="008B2984"/>
    <w:rsid w:val="008B305A"/>
    <w:rsid w:val="008B6B53"/>
    <w:rsid w:val="008C44FC"/>
    <w:rsid w:val="008C7F36"/>
    <w:rsid w:val="008D27A5"/>
    <w:rsid w:val="008D4683"/>
    <w:rsid w:val="008D6C9D"/>
    <w:rsid w:val="008D7383"/>
    <w:rsid w:val="008E3D6F"/>
    <w:rsid w:val="008E4D6B"/>
    <w:rsid w:val="008E6587"/>
    <w:rsid w:val="008E6F17"/>
    <w:rsid w:val="008F2579"/>
    <w:rsid w:val="008F42AF"/>
    <w:rsid w:val="008F49E9"/>
    <w:rsid w:val="008F5099"/>
    <w:rsid w:val="008F6982"/>
    <w:rsid w:val="0090098D"/>
    <w:rsid w:val="00901ACF"/>
    <w:rsid w:val="009022AF"/>
    <w:rsid w:val="0090301E"/>
    <w:rsid w:val="0090428D"/>
    <w:rsid w:val="0090560B"/>
    <w:rsid w:val="009069A7"/>
    <w:rsid w:val="00913B83"/>
    <w:rsid w:val="00917CAE"/>
    <w:rsid w:val="00920F1E"/>
    <w:rsid w:val="009230F2"/>
    <w:rsid w:val="009236AE"/>
    <w:rsid w:val="0092419C"/>
    <w:rsid w:val="00931935"/>
    <w:rsid w:val="00947BE3"/>
    <w:rsid w:val="00963072"/>
    <w:rsid w:val="0096476A"/>
    <w:rsid w:val="0096757A"/>
    <w:rsid w:val="00967B6B"/>
    <w:rsid w:val="00971E9E"/>
    <w:rsid w:val="0097379E"/>
    <w:rsid w:val="00975EA0"/>
    <w:rsid w:val="00981415"/>
    <w:rsid w:val="00982574"/>
    <w:rsid w:val="009849AA"/>
    <w:rsid w:val="00993F8A"/>
    <w:rsid w:val="00994EC4"/>
    <w:rsid w:val="009950E4"/>
    <w:rsid w:val="009952D4"/>
    <w:rsid w:val="009A0A52"/>
    <w:rsid w:val="009A19AB"/>
    <w:rsid w:val="009A5FE6"/>
    <w:rsid w:val="009B00D6"/>
    <w:rsid w:val="009B2DE4"/>
    <w:rsid w:val="009B3739"/>
    <w:rsid w:val="009C0DF8"/>
    <w:rsid w:val="009C1B98"/>
    <w:rsid w:val="009D3573"/>
    <w:rsid w:val="009D61CE"/>
    <w:rsid w:val="009E4082"/>
    <w:rsid w:val="009E5A61"/>
    <w:rsid w:val="009F41DE"/>
    <w:rsid w:val="009F6CBD"/>
    <w:rsid w:val="00A01C12"/>
    <w:rsid w:val="00A0274B"/>
    <w:rsid w:val="00A074EC"/>
    <w:rsid w:val="00A12498"/>
    <w:rsid w:val="00A2104F"/>
    <w:rsid w:val="00A2341B"/>
    <w:rsid w:val="00A25C0B"/>
    <w:rsid w:val="00A26401"/>
    <w:rsid w:val="00A27A5D"/>
    <w:rsid w:val="00A37640"/>
    <w:rsid w:val="00A37F71"/>
    <w:rsid w:val="00A4455B"/>
    <w:rsid w:val="00A464F2"/>
    <w:rsid w:val="00A4792B"/>
    <w:rsid w:val="00A5633A"/>
    <w:rsid w:val="00A641C7"/>
    <w:rsid w:val="00A70AE0"/>
    <w:rsid w:val="00A711DA"/>
    <w:rsid w:val="00A716F8"/>
    <w:rsid w:val="00A732B4"/>
    <w:rsid w:val="00A86181"/>
    <w:rsid w:val="00A93BD8"/>
    <w:rsid w:val="00AA0259"/>
    <w:rsid w:val="00AA61F0"/>
    <w:rsid w:val="00AB04D8"/>
    <w:rsid w:val="00AB2480"/>
    <w:rsid w:val="00AB2B5B"/>
    <w:rsid w:val="00AB663F"/>
    <w:rsid w:val="00AC0669"/>
    <w:rsid w:val="00AC29CE"/>
    <w:rsid w:val="00AC3086"/>
    <w:rsid w:val="00AC3136"/>
    <w:rsid w:val="00AD6205"/>
    <w:rsid w:val="00AD6907"/>
    <w:rsid w:val="00AD75E6"/>
    <w:rsid w:val="00AE2350"/>
    <w:rsid w:val="00AE2974"/>
    <w:rsid w:val="00AE6599"/>
    <w:rsid w:val="00AE6CFF"/>
    <w:rsid w:val="00AF3680"/>
    <w:rsid w:val="00B04315"/>
    <w:rsid w:val="00B0459F"/>
    <w:rsid w:val="00B05391"/>
    <w:rsid w:val="00B102C9"/>
    <w:rsid w:val="00B1061A"/>
    <w:rsid w:val="00B12177"/>
    <w:rsid w:val="00B15456"/>
    <w:rsid w:val="00B1561E"/>
    <w:rsid w:val="00B227B2"/>
    <w:rsid w:val="00B24822"/>
    <w:rsid w:val="00B26EC6"/>
    <w:rsid w:val="00B277BF"/>
    <w:rsid w:val="00B3351D"/>
    <w:rsid w:val="00B37DD6"/>
    <w:rsid w:val="00B400AC"/>
    <w:rsid w:val="00B44F69"/>
    <w:rsid w:val="00B51A09"/>
    <w:rsid w:val="00B5322D"/>
    <w:rsid w:val="00B5781C"/>
    <w:rsid w:val="00B64F93"/>
    <w:rsid w:val="00B652D3"/>
    <w:rsid w:val="00B7322E"/>
    <w:rsid w:val="00B767AD"/>
    <w:rsid w:val="00B851B3"/>
    <w:rsid w:val="00B91760"/>
    <w:rsid w:val="00B94832"/>
    <w:rsid w:val="00BA0FB7"/>
    <w:rsid w:val="00BA64F0"/>
    <w:rsid w:val="00BD0155"/>
    <w:rsid w:val="00BE5C4C"/>
    <w:rsid w:val="00BF2C02"/>
    <w:rsid w:val="00BF370E"/>
    <w:rsid w:val="00C0068A"/>
    <w:rsid w:val="00C0531A"/>
    <w:rsid w:val="00C0705B"/>
    <w:rsid w:val="00C07DDC"/>
    <w:rsid w:val="00C1335A"/>
    <w:rsid w:val="00C20988"/>
    <w:rsid w:val="00C33BC1"/>
    <w:rsid w:val="00C355C4"/>
    <w:rsid w:val="00C3597B"/>
    <w:rsid w:val="00C3603B"/>
    <w:rsid w:val="00C40EC5"/>
    <w:rsid w:val="00C4185D"/>
    <w:rsid w:val="00C46002"/>
    <w:rsid w:val="00C54C6D"/>
    <w:rsid w:val="00C54E17"/>
    <w:rsid w:val="00C55B60"/>
    <w:rsid w:val="00C86BD9"/>
    <w:rsid w:val="00C908E4"/>
    <w:rsid w:val="00C96029"/>
    <w:rsid w:val="00CA1891"/>
    <w:rsid w:val="00CA22BB"/>
    <w:rsid w:val="00CA69D0"/>
    <w:rsid w:val="00CA7C3E"/>
    <w:rsid w:val="00CB56A6"/>
    <w:rsid w:val="00CC0497"/>
    <w:rsid w:val="00CD0C81"/>
    <w:rsid w:val="00CD2784"/>
    <w:rsid w:val="00CD3A67"/>
    <w:rsid w:val="00CE2141"/>
    <w:rsid w:val="00CE25EB"/>
    <w:rsid w:val="00CE34BF"/>
    <w:rsid w:val="00CF0D5E"/>
    <w:rsid w:val="00CF105E"/>
    <w:rsid w:val="00CF18AF"/>
    <w:rsid w:val="00CF5422"/>
    <w:rsid w:val="00CF6BC8"/>
    <w:rsid w:val="00D01E48"/>
    <w:rsid w:val="00D1553E"/>
    <w:rsid w:val="00D160D4"/>
    <w:rsid w:val="00D2318E"/>
    <w:rsid w:val="00D27240"/>
    <w:rsid w:val="00D341A0"/>
    <w:rsid w:val="00D35593"/>
    <w:rsid w:val="00D415B5"/>
    <w:rsid w:val="00D43D78"/>
    <w:rsid w:val="00D45786"/>
    <w:rsid w:val="00D52290"/>
    <w:rsid w:val="00D607A5"/>
    <w:rsid w:val="00D64B11"/>
    <w:rsid w:val="00D64CB5"/>
    <w:rsid w:val="00D724B1"/>
    <w:rsid w:val="00D74C36"/>
    <w:rsid w:val="00D81BF3"/>
    <w:rsid w:val="00D83628"/>
    <w:rsid w:val="00D871D2"/>
    <w:rsid w:val="00DA31F5"/>
    <w:rsid w:val="00DA5612"/>
    <w:rsid w:val="00DA63C6"/>
    <w:rsid w:val="00DB34A1"/>
    <w:rsid w:val="00DB3C8D"/>
    <w:rsid w:val="00DB63EB"/>
    <w:rsid w:val="00DD05F3"/>
    <w:rsid w:val="00DE32CA"/>
    <w:rsid w:val="00DE5FDF"/>
    <w:rsid w:val="00E02930"/>
    <w:rsid w:val="00E04411"/>
    <w:rsid w:val="00E07F25"/>
    <w:rsid w:val="00E1494D"/>
    <w:rsid w:val="00E158B7"/>
    <w:rsid w:val="00E218A3"/>
    <w:rsid w:val="00E245E1"/>
    <w:rsid w:val="00E2491B"/>
    <w:rsid w:val="00E2717C"/>
    <w:rsid w:val="00E30D5C"/>
    <w:rsid w:val="00E30E66"/>
    <w:rsid w:val="00E3624B"/>
    <w:rsid w:val="00E469E2"/>
    <w:rsid w:val="00E52D39"/>
    <w:rsid w:val="00E55F85"/>
    <w:rsid w:val="00E61602"/>
    <w:rsid w:val="00E61CD5"/>
    <w:rsid w:val="00E62211"/>
    <w:rsid w:val="00E65253"/>
    <w:rsid w:val="00E75559"/>
    <w:rsid w:val="00E76C23"/>
    <w:rsid w:val="00E86CD9"/>
    <w:rsid w:val="00E92D27"/>
    <w:rsid w:val="00E9468C"/>
    <w:rsid w:val="00E946C5"/>
    <w:rsid w:val="00E95370"/>
    <w:rsid w:val="00E96161"/>
    <w:rsid w:val="00EA1673"/>
    <w:rsid w:val="00EA24F9"/>
    <w:rsid w:val="00EA7B2D"/>
    <w:rsid w:val="00EB116F"/>
    <w:rsid w:val="00EB6340"/>
    <w:rsid w:val="00EC3017"/>
    <w:rsid w:val="00EC6F26"/>
    <w:rsid w:val="00ED2015"/>
    <w:rsid w:val="00ED5BE4"/>
    <w:rsid w:val="00EE5C3E"/>
    <w:rsid w:val="00EE734B"/>
    <w:rsid w:val="00EF2D34"/>
    <w:rsid w:val="00EF416B"/>
    <w:rsid w:val="00EF785D"/>
    <w:rsid w:val="00F0255D"/>
    <w:rsid w:val="00F0483F"/>
    <w:rsid w:val="00F0579C"/>
    <w:rsid w:val="00F06AE9"/>
    <w:rsid w:val="00F10F6D"/>
    <w:rsid w:val="00F10FA7"/>
    <w:rsid w:val="00F1229D"/>
    <w:rsid w:val="00F1674C"/>
    <w:rsid w:val="00F17F2B"/>
    <w:rsid w:val="00F20C94"/>
    <w:rsid w:val="00F20F4B"/>
    <w:rsid w:val="00F25109"/>
    <w:rsid w:val="00F2650C"/>
    <w:rsid w:val="00F3091D"/>
    <w:rsid w:val="00F42D2F"/>
    <w:rsid w:val="00F445C5"/>
    <w:rsid w:val="00F44E01"/>
    <w:rsid w:val="00F479C9"/>
    <w:rsid w:val="00F52AA9"/>
    <w:rsid w:val="00F53074"/>
    <w:rsid w:val="00F53560"/>
    <w:rsid w:val="00F55127"/>
    <w:rsid w:val="00F5580D"/>
    <w:rsid w:val="00F56DDC"/>
    <w:rsid w:val="00F5715A"/>
    <w:rsid w:val="00F63C56"/>
    <w:rsid w:val="00F64E4F"/>
    <w:rsid w:val="00F66720"/>
    <w:rsid w:val="00F673A9"/>
    <w:rsid w:val="00F718DB"/>
    <w:rsid w:val="00F82A2D"/>
    <w:rsid w:val="00F83549"/>
    <w:rsid w:val="00F83C0B"/>
    <w:rsid w:val="00F84691"/>
    <w:rsid w:val="00F90F81"/>
    <w:rsid w:val="00F94A70"/>
    <w:rsid w:val="00F96535"/>
    <w:rsid w:val="00FB02F5"/>
    <w:rsid w:val="00FB2257"/>
    <w:rsid w:val="00FB3824"/>
    <w:rsid w:val="00FC28A4"/>
    <w:rsid w:val="00FC3F67"/>
    <w:rsid w:val="00FC6CD0"/>
    <w:rsid w:val="00FD0CF3"/>
    <w:rsid w:val="00FD77C5"/>
    <w:rsid w:val="00FE097E"/>
    <w:rsid w:val="00FE442B"/>
    <w:rsid w:val="00FE6452"/>
    <w:rsid w:val="00FE7EB0"/>
    <w:rsid w:val="00FF0562"/>
    <w:rsid w:val="00FF46D9"/>
    <w:rsid w:val="00FF5248"/>
    <w:rsid w:val="00FF65F3"/>
    <w:rsid w:val="01038E0D"/>
    <w:rsid w:val="03D16052"/>
    <w:rsid w:val="0802D0FA"/>
    <w:rsid w:val="0C067A88"/>
    <w:rsid w:val="0C58F2EB"/>
    <w:rsid w:val="0FBBF6C5"/>
    <w:rsid w:val="100BAA9A"/>
    <w:rsid w:val="12FC1EA4"/>
    <w:rsid w:val="18E5F7E4"/>
    <w:rsid w:val="1D079E3A"/>
    <w:rsid w:val="1F007D75"/>
    <w:rsid w:val="1F166D07"/>
    <w:rsid w:val="204DB16C"/>
    <w:rsid w:val="272EB643"/>
    <w:rsid w:val="29F3BB41"/>
    <w:rsid w:val="2B3745C5"/>
    <w:rsid w:val="2C551B8D"/>
    <w:rsid w:val="2CBE6AD1"/>
    <w:rsid w:val="2E466003"/>
    <w:rsid w:val="30811EC1"/>
    <w:rsid w:val="33F0E994"/>
    <w:rsid w:val="36F3DB4B"/>
    <w:rsid w:val="37239513"/>
    <w:rsid w:val="395AA8E9"/>
    <w:rsid w:val="417BAB02"/>
    <w:rsid w:val="41E833C5"/>
    <w:rsid w:val="444922D3"/>
    <w:rsid w:val="47309E60"/>
    <w:rsid w:val="4859F215"/>
    <w:rsid w:val="4E97C669"/>
    <w:rsid w:val="54B05DF7"/>
    <w:rsid w:val="552BE72A"/>
    <w:rsid w:val="575A66C3"/>
    <w:rsid w:val="577635A3"/>
    <w:rsid w:val="5847C2EA"/>
    <w:rsid w:val="5B80D1B5"/>
    <w:rsid w:val="5BEAF958"/>
    <w:rsid w:val="66C6F20B"/>
    <w:rsid w:val="67E203AD"/>
    <w:rsid w:val="69F3FD7F"/>
    <w:rsid w:val="6BA62341"/>
    <w:rsid w:val="6BAC43EA"/>
    <w:rsid w:val="6EE6D5DB"/>
    <w:rsid w:val="779BBA43"/>
    <w:rsid w:val="7C1ABB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27CD5"/>
  <w15:docId w15:val="{9E4AD25B-948F-43DF-8D30-1D92533F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2A2D"/>
    <w:pPr>
      <w:spacing w:after="0" w:line="240" w:lineRule="auto"/>
    </w:pPr>
    <w:rPr>
      <w:rFonts w:eastAsia="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v213">
    <w:name w:val="tv213"/>
    <w:basedOn w:val="Normal"/>
    <w:rsid w:val="00070E79"/>
    <w:pPr>
      <w:spacing w:before="100" w:beforeAutospacing="1" w:after="100" w:afterAutospacing="1"/>
    </w:pPr>
  </w:style>
  <w:style w:type="paragraph" w:customStyle="1" w:styleId="labojumupamats">
    <w:name w:val="labojumu_pamats"/>
    <w:basedOn w:val="Normal"/>
    <w:rsid w:val="00070E79"/>
    <w:pPr>
      <w:spacing w:before="100" w:beforeAutospacing="1" w:after="100" w:afterAutospacing="1"/>
    </w:pPr>
  </w:style>
  <w:style w:type="character" w:styleId="Hyperlink">
    <w:name w:val="Hyperlink"/>
    <w:basedOn w:val="DefaultParagraphFont"/>
    <w:uiPriority w:val="99"/>
    <w:unhideWhenUsed/>
    <w:rsid w:val="00070E79"/>
    <w:rPr>
      <w:color w:val="0000FF"/>
      <w:u w:val="single"/>
    </w:rPr>
  </w:style>
  <w:style w:type="paragraph" w:styleId="NormalWeb">
    <w:name w:val="Normal (Web)"/>
    <w:basedOn w:val="Normal"/>
    <w:uiPriority w:val="99"/>
    <w:semiHidden/>
    <w:unhideWhenUsed/>
    <w:rsid w:val="00717E05"/>
    <w:pPr>
      <w:spacing w:before="100" w:beforeAutospacing="1" w:after="100" w:afterAutospacing="1"/>
    </w:pPr>
  </w:style>
  <w:style w:type="paragraph" w:styleId="ListParagraph">
    <w:name w:val="List Paragraph"/>
    <w:basedOn w:val="Normal"/>
    <w:link w:val="ListParagraphChar"/>
    <w:uiPriority w:val="34"/>
    <w:qFormat/>
    <w:rsid w:val="00F82A2D"/>
    <w:pPr>
      <w:ind w:left="720"/>
      <w:contextualSpacing/>
    </w:pPr>
  </w:style>
  <w:style w:type="character" w:customStyle="1" w:styleId="ListParagraphChar">
    <w:name w:val="List Paragraph Char"/>
    <w:link w:val="ListParagraph"/>
    <w:uiPriority w:val="34"/>
    <w:rsid w:val="00F82A2D"/>
    <w:rPr>
      <w:rFonts w:eastAsia="Times New Roman" w:cs="Times New Roman"/>
      <w:sz w:val="24"/>
      <w:szCs w:val="24"/>
      <w:lang w:eastAsia="lv-LV"/>
    </w:rPr>
  </w:style>
  <w:style w:type="character" w:customStyle="1" w:styleId="bpktextbpk-text2voub">
    <w:name w:val="bpktext_bpk-text__2voub"/>
    <w:basedOn w:val="DefaultParagraphFont"/>
    <w:rsid w:val="00982574"/>
  </w:style>
  <w:style w:type="paragraph" w:styleId="BalloonText">
    <w:name w:val="Balloon Text"/>
    <w:basedOn w:val="Normal"/>
    <w:link w:val="BalloonTextChar"/>
    <w:uiPriority w:val="99"/>
    <w:semiHidden/>
    <w:unhideWhenUsed/>
    <w:rsid w:val="00982574"/>
    <w:rPr>
      <w:rFonts w:ascii="Tahoma" w:hAnsi="Tahoma" w:cs="Tahoma"/>
      <w:sz w:val="16"/>
      <w:szCs w:val="16"/>
    </w:rPr>
  </w:style>
  <w:style w:type="character" w:customStyle="1" w:styleId="BalloonTextChar">
    <w:name w:val="Balloon Text Char"/>
    <w:basedOn w:val="DefaultParagraphFont"/>
    <w:link w:val="BalloonText"/>
    <w:uiPriority w:val="99"/>
    <w:semiHidden/>
    <w:rsid w:val="00982574"/>
    <w:rPr>
      <w:rFonts w:ascii="Tahoma" w:eastAsia="Times New Roman" w:hAnsi="Tahoma" w:cs="Tahoma"/>
      <w:sz w:val="16"/>
      <w:szCs w:val="16"/>
      <w:lang w:eastAsia="lv-LV"/>
    </w:rPr>
  </w:style>
  <w:style w:type="paragraph" w:customStyle="1" w:styleId="Default">
    <w:name w:val="Default"/>
    <w:rsid w:val="00232B70"/>
    <w:pPr>
      <w:autoSpaceDE w:val="0"/>
      <w:autoSpaceDN w:val="0"/>
      <w:adjustRightInd w:val="0"/>
      <w:spacing w:after="0" w:line="240" w:lineRule="auto"/>
    </w:pPr>
    <w:rPr>
      <w:rFonts w:cs="Times New Roman"/>
      <w:color w:val="000000"/>
      <w:sz w:val="24"/>
      <w:szCs w:val="24"/>
    </w:rPr>
  </w:style>
  <w:style w:type="paragraph" w:styleId="FootnoteText">
    <w:name w:val="footnote text"/>
    <w:basedOn w:val="Normal"/>
    <w:link w:val="FootnoteTextChar"/>
    <w:uiPriority w:val="99"/>
    <w:semiHidden/>
    <w:unhideWhenUsed/>
    <w:rsid w:val="004532BB"/>
    <w:rPr>
      <w:rFonts w:ascii="Calibri" w:eastAsia="Calibri" w:hAnsi="Calibri"/>
      <w:sz w:val="20"/>
      <w:szCs w:val="20"/>
      <w:lang w:val="en-GB" w:eastAsia="en-US"/>
    </w:rPr>
  </w:style>
  <w:style w:type="character" w:customStyle="1" w:styleId="FootnoteTextChar">
    <w:name w:val="Footnote Text Char"/>
    <w:basedOn w:val="DefaultParagraphFont"/>
    <w:link w:val="FootnoteText"/>
    <w:uiPriority w:val="99"/>
    <w:semiHidden/>
    <w:rsid w:val="004532BB"/>
    <w:rPr>
      <w:rFonts w:ascii="Calibri" w:eastAsia="Calibri" w:hAnsi="Calibri" w:cs="Times New Roman"/>
      <w:sz w:val="20"/>
      <w:szCs w:val="20"/>
      <w:lang w:val="en-GB"/>
    </w:rPr>
  </w:style>
  <w:style w:type="character" w:styleId="FootnoteReference">
    <w:name w:val="footnote reference"/>
    <w:basedOn w:val="DefaultParagraphFont"/>
    <w:uiPriority w:val="99"/>
    <w:semiHidden/>
    <w:unhideWhenUsed/>
    <w:rsid w:val="004532BB"/>
    <w:rPr>
      <w:vertAlign w:val="superscript"/>
    </w:rPr>
  </w:style>
  <w:style w:type="table" w:styleId="TableGrid">
    <w:name w:val="Table Grid"/>
    <w:basedOn w:val="TableNormal"/>
    <w:uiPriority w:val="39"/>
    <w:rsid w:val="004532BB"/>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D050C"/>
    <w:pPr>
      <w:spacing w:after="0" w:line="240" w:lineRule="auto"/>
    </w:pPr>
    <w:rPr>
      <w:rFonts w:eastAsia="Times New Roman" w:cs="Times New Roman"/>
      <w:sz w:val="24"/>
      <w:szCs w:val="24"/>
      <w:lang w:eastAsia="lv-LV"/>
    </w:rPr>
  </w:style>
  <w:style w:type="character" w:styleId="CommentReference">
    <w:name w:val="annotation reference"/>
    <w:basedOn w:val="DefaultParagraphFont"/>
    <w:uiPriority w:val="99"/>
    <w:semiHidden/>
    <w:unhideWhenUsed/>
    <w:rsid w:val="00C20988"/>
    <w:rPr>
      <w:sz w:val="16"/>
      <w:szCs w:val="16"/>
    </w:rPr>
  </w:style>
  <w:style w:type="paragraph" w:styleId="CommentText">
    <w:name w:val="annotation text"/>
    <w:basedOn w:val="Normal"/>
    <w:link w:val="CommentTextChar"/>
    <w:uiPriority w:val="99"/>
    <w:semiHidden/>
    <w:unhideWhenUsed/>
    <w:rsid w:val="00C20988"/>
    <w:rPr>
      <w:sz w:val="20"/>
      <w:szCs w:val="20"/>
    </w:rPr>
  </w:style>
  <w:style w:type="character" w:customStyle="1" w:styleId="CommentTextChar">
    <w:name w:val="Comment Text Char"/>
    <w:basedOn w:val="DefaultParagraphFont"/>
    <w:link w:val="CommentText"/>
    <w:uiPriority w:val="99"/>
    <w:semiHidden/>
    <w:rsid w:val="00C20988"/>
    <w:rPr>
      <w:rFonts w:eastAsia="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C20988"/>
    <w:rPr>
      <w:b/>
      <w:bCs/>
    </w:rPr>
  </w:style>
  <w:style w:type="character" w:customStyle="1" w:styleId="CommentSubjectChar">
    <w:name w:val="Comment Subject Char"/>
    <w:basedOn w:val="CommentTextChar"/>
    <w:link w:val="CommentSubject"/>
    <w:uiPriority w:val="99"/>
    <w:semiHidden/>
    <w:rsid w:val="00C20988"/>
    <w:rPr>
      <w:rFonts w:eastAsia="Times New Roman" w:cs="Times New Roman"/>
      <w:b/>
      <w:bCs/>
      <w:sz w:val="20"/>
      <w:szCs w:val="20"/>
      <w:lang w:eastAsia="lv-LV"/>
    </w:rPr>
  </w:style>
  <w:style w:type="paragraph" w:styleId="Header">
    <w:name w:val="header"/>
    <w:basedOn w:val="Normal"/>
    <w:link w:val="HeaderChar"/>
    <w:uiPriority w:val="99"/>
    <w:semiHidden/>
    <w:unhideWhenUsed/>
    <w:rsid w:val="000D012C"/>
    <w:pPr>
      <w:tabs>
        <w:tab w:val="center" w:pos="4153"/>
        <w:tab w:val="right" w:pos="8306"/>
      </w:tabs>
    </w:pPr>
  </w:style>
  <w:style w:type="character" w:customStyle="1" w:styleId="HeaderChar">
    <w:name w:val="Header Char"/>
    <w:basedOn w:val="DefaultParagraphFont"/>
    <w:link w:val="Header"/>
    <w:uiPriority w:val="99"/>
    <w:semiHidden/>
    <w:rsid w:val="000D012C"/>
    <w:rPr>
      <w:rFonts w:eastAsia="Times New Roman" w:cs="Times New Roman"/>
      <w:sz w:val="24"/>
      <w:szCs w:val="24"/>
      <w:lang w:eastAsia="lv-LV"/>
    </w:rPr>
  </w:style>
  <w:style w:type="paragraph" w:styleId="Footer">
    <w:name w:val="footer"/>
    <w:basedOn w:val="Normal"/>
    <w:link w:val="FooterChar"/>
    <w:uiPriority w:val="99"/>
    <w:semiHidden/>
    <w:unhideWhenUsed/>
    <w:rsid w:val="000D012C"/>
    <w:pPr>
      <w:tabs>
        <w:tab w:val="center" w:pos="4153"/>
        <w:tab w:val="right" w:pos="8306"/>
      </w:tabs>
    </w:pPr>
  </w:style>
  <w:style w:type="character" w:customStyle="1" w:styleId="FooterChar">
    <w:name w:val="Footer Char"/>
    <w:basedOn w:val="DefaultParagraphFont"/>
    <w:link w:val="Footer"/>
    <w:uiPriority w:val="99"/>
    <w:semiHidden/>
    <w:rsid w:val="000D012C"/>
    <w:rPr>
      <w:rFonts w:eastAsia="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86137">
      <w:bodyDiv w:val="1"/>
      <w:marLeft w:val="0"/>
      <w:marRight w:val="0"/>
      <w:marTop w:val="0"/>
      <w:marBottom w:val="0"/>
      <w:divBdr>
        <w:top w:val="none" w:sz="0" w:space="0" w:color="auto"/>
        <w:left w:val="none" w:sz="0" w:space="0" w:color="auto"/>
        <w:bottom w:val="none" w:sz="0" w:space="0" w:color="auto"/>
        <w:right w:val="none" w:sz="0" w:space="0" w:color="auto"/>
      </w:divBdr>
      <w:divsChild>
        <w:div w:id="136999007">
          <w:marLeft w:val="0"/>
          <w:marRight w:val="0"/>
          <w:marTop w:val="0"/>
          <w:marBottom w:val="0"/>
          <w:divBdr>
            <w:top w:val="none" w:sz="0" w:space="0" w:color="auto"/>
            <w:left w:val="none" w:sz="0" w:space="0" w:color="auto"/>
            <w:bottom w:val="none" w:sz="0" w:space="0" w:color="auto"/>
            <w:right w:val="none" w:sz="0" w:space="0" w:color="auto"/>
          </w:divBdr>
          <w:divsChild>
            <w:div w:id="4745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827884">
      <w:bodyDiv w:val="1"/>
      <w:marLeft w:val="0"/>
      <w:marRight w:val="0"/>
      <w:marTop w:val="0"/>
      <w:marBottom w:val="0"/>
      <w:divBdr>
        <w:top w:val="none" w:sz="0" w:space="0" w:color="auto"/>
        <w:left w:val="none" w:sz="0" w:space="0" w:color="auto"/>
        <w:bottom w:val="none" w:sz="0" w:space="0" w:color="auto"/>
        <w:right w:val="none" w:sz="0" w:space="0" w:color="auto"/>
      </w:divBdr>
    </w:div>
    <w:div w:id="648633306">
      <w:bodyDiv w:val="1"/>
      <w:marLeft w:val="0"/>
      <w:marRight w:val="0"/>
      <w:marTop w:val="0"/>
      <w:marBottom w:val="0"/>
      <w:divBdr>
        <w:top w:val="none" w:sz="0" w:space="0" w:color="auto"/>
        <w:left w:val="none" w:sz="0" w:space="0" w:color="auto"/>
        <w:bottom w:val="none" w:sz="0" w:space="0" w:color="auto"/>
        <w:right w:val="none" w:sz="0" w:space="0" w:color="auto"/>
      </w:divBdr>
    </w:div>
    <w:div w:id="1516766229">
      <w:bodyDiv w:val="1"/>
      <w:marLeft w:val="0"/>
      <w:marRight w:val="0"/>
      <w:marTop w:val="0"/>
      <w:marBottom w:val="0"/>
      <w:divBdr>
        <w:top w:val="none" w:sz="0" w:space="0" w:color="auto"/>
        <w:left w:val="none" w:sz="0" w:space="0" w:color="auto"/>
        <w:bottom w:val="none" w:sz="0" w:space="0" w:color="auto"/>
        <w:right w:val="none" w:sz="0" w:space="0" w:color="auto"/>
      </w:divBdr>
    </w:div>
    <w:div w:id="1540043725">
      <w:bodyDiv w:val="1"/>
      <w:marLeft w:val="0"/>
      <w:marRight w:val="0"/>
      <w:marTop w:val="0"/>
      <w:marBottom w:val="0"/>
      <w:divBdr>
        <w:top w:val="none" w:sz="0" w:space="0" w:color="auto"/>
        <w:left w:val="none" w:sz="0" w:space="0" w:color="auto"/>
        <w:bottom w:val="none" w:sz="0" w:space="0" w:color="auto"/>
        <w:right w:val="none" w:sz="0" w:space="0" w:color="auto"/>
      </w:divBdr>
      <w:divsChild>
        <w:div w:id="1810635493">
          <w:marLeft w:val="0"/>
          <w:marRight w:val="0"/>
          <w:marTop w:val="0"/>
          <w:marBottom w:val="0"/>
          <w:divBdr>
            <w:top w:val="none" w:sz="0" w:space="0" w:color="auto"/>
            <w:left w:val="none" w:sz="0" w:space="0" w:color="auto"/>
            <w:bottom w:val="none" w:sz="0" w:space="0" w:color="auto"/>
            <w:right w:val="none" w:sz="0" w:space="0" w:color="auto"/>
          </w:divBdr>
          <w:divsChild>
            <w:div w:id="669987349">
              <w:marLeft w:val="0"/>
              <w:marRight w:val="0"/>
              <w:marTop w:val="0"/>
              <w:marBottom w:val="0"/>
              <w:divBdr>
                <w:top w:val="none" w:sz="0" w:space="0" w:color="auto"/>
                <w:left w:val="none" w:sz="0" w:space="0" w:color="auto"/>
                <w:bottom w:val="none" w:sz="0" w:space="0" w:color="auto"/>
                <w:right w:val="none" w:sz="0" w:space="0" w:color="auto"/>
              </w:divBdr>
            </w:div>
          </w:divsChild>
        </w:div>
        <w:div w:id="745885895">
          <w:marLeft w:val="0"/>
          <w:marRight w:val="0"/>
          <w:marTop w:val="0"/>
          <w:marBottom w:val="0"/>
          <w:divBdr>
            <w:top w:val="none" w:sz="0" w:space="0" w:color="auto"/>
            <w:left w:val="none" w:sz="0" w:space="0" w:color="auto"/>
            <w:bottom w:val="none" w:sz="0" w:space="0" w:color="auto"/>
            <w:right w:val="none" w:sz="0" w:space="0" w:color="auto"/>
          </w:divBdr>
          <w:divsChild>
            <w:div w:id="1646739592">
              <w:marLeft w:val="0"/>
              <w:marRight w:val="0"/>
              <w:marTop w:val="0"/>
              <w:marBottom w:val="0"/>
              <w:divBdr>
                <w:top w:val="none" w:sz="0" w:space="0" w:color="auto"/>
                <w:left w:val="none" w:sz="0" w:space="0" w:color="auto"/>
                <w:bottom w:val="none" w:sz="0" w:space="0" w:color="auto"/>
                <w:right w:val="none" w:sz="0" w:space="0" w:color="auto"/>
              </w:divBdr>
            </w:div>
          </w:divsChild>
        </w:div>
        <w:div w:id="901209197">
          <w:marLeft w:val="0"/>
          <w:marRight w:val="0"/>
          <w:marTop w:val="0"/>
          <w:marBottom w:val="0"/>
          <w:divBdr>
            <w:top w:val="none" w:sz="0" w:space="0" w:color="auto"/>
            <w:left w:val="none" w:sz="0" w:space="0" w:color="auto"/>
            <w:bottom w:val="none" w:sz="0" w:space="0" w:color="auto"/>
            <w:right w:val="none" w:sz="0" w:space="0" w:color="auto"/>
          </w:divBdr>
          <w:divsChild>
            <w:div w:id="199035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981417">
      <w:bodyDiv w:val="1"/>
      <w:marLeft w:val="0"/>
      <w:marRight w:val="0"/>
      <w:marTop w:val="0"/>
      <w:marBottom w:val="0"/>
      <w:divBdr>
        <w:top w:val="none" w:sz="0" w:space="0" w:color="auto"/>
        <w:left w:val="none" w:sz="0" w:space="0" w:color="auto"/>
        <w:bottom w:val="none" w:sz="0" w:space="0" w:color="auto"/>
        <w:right w:val="none" w:sz="0" w:space="0" w:color="auto"/>
      </w:divBdr>
    </w:div>
    <w:div w:id="1609389833">
      <w:bodyDiv w:val="1"/>
      <w:marLeft w:val="0"/>
      <w:marRight w:val="0"/>
      <w:marTop w:val="0"/>
      <w:marBottom w:val="0"/>
      <w:divBdr>
        <w:top w:val="none" w:sz="0" w:space="0" w:color="auto"/>
        <w:left w:val="none" w:sz="0" w:space="0" w:color="auto"/>
        <w:bottom w:val="none" w:sz="0" w:space="0" w:color="auto"/>
        <w:right w:val="none" w:sz="0" w:space="0" w:color="auto"/>
      </w:divBdr>
      <w:divsChild>
        <w:div w:id="364062960">
          <w:marLeft w:val="0"/>
          <w:marRight w:val="0"/>
          <w:marTop w:val="0"/>
          <w:marBottom w:val="0"/>
          <w:divBdr>
            <w:top w:val="none" w:sz="0" w:space="0" w:color="auto"/>
            <w:left w:val="none" w:sz="0" w:space="0" w:color="auto"/>
            <w:bottom w:val="none" w:sz="0" w:space="0" w:color="auto"/>
            <w:right w:val="none" w:sz="0" w:space="0" w:color="auto"/>
          </w:divBdr>
          <w:divsChild>
            <w:div w:id="648485600">
              <w:marLeft w:val="0"/>
              <w:marRight w:val="0"/>
              <w:marTop w:val="0"/>
              <w:marBottom w:val="0"/>
              <w:divBdr>
                <w:top w:val="none" w:sz="0" w:space="0" w:color="auto"/>
                <w:left w:val="none" w:sz="0" w:space="0" w:color="auto"/>
                <w:bottom w:val="none" w:sz="0" w:space="0" w:color="auto"/>
                <w:right w:val="none" w:sz="0" w:space="0" w:color="auto"/>
              </w:divBdr>
              <w:divsChild>
                <w:div w:id="1722745440">
                  <w:marLeft w:val="0"/>
                  <w:marRight w:val="0"/>
                  <w:marTop w:val="0"/>
                  <w:marBottom w:val="0"/>
                  <w:divBdr>
                    <w:top w:val="none" w:sz="0" w:space="0" w:color="auto"/>
                    <w:left w:val="none" w:sz="0" w:space="0" w:color="auto"/>
                    <w:bottom w:val="none" w:sz="0" w:space="0" w:color="auto"/>
                    <w:right w:val="none" w:sz="0" w:space="0" w:color="auto"/>
                  </w:divBdr>
                  <w:divsChild>
                    <w:div w:id="1791432655">
                      <w:marLeft w:val="0"/>
                      <w:marRight w:val="0"/>
                      <w:marTop w:val="0"/>
                      <w:marBottom w:val="0"/>
                      <w:divBdr>
                        <w:top w:val="none" w:sz="0" w:space="0" w:color="auto"/>
                        <w:left w:val="none" w:sz="0" w:space="0" w:color="auto"/>
                        <w:bottom w:val="none" w:sz="0" w:space="0" w:color="auto"/>
                        <w:right w:val="none" w:sz="0" w:space="0" w:color="auto"/>
                      </w:divBdr>
                      <w:divsChild>
                        <w:div w:id="93987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245589">
          <w:marLeft w:val="0"/>
          <w:marRight w:val="0"/>
          <w:marTop w:val="0"/>
          <w:marBottom w:val="0"/>
          <w:divBdr>
            <w:top w:val="none" w:sz="0" w:space="0" w:color="auto"/>
            <w:left w:val="none" w:sz="0" w:space="0" w:color="auto"/>
            <w:bottom w:val="none" w:sz="0" w:space="0" w:color="auto"/>
            <w:right w:val="none" w:sz="0" w:space="0" w:color="auto"/>
          </w:divBdr>
          <w:divsChild>
            <w:div w:id="685668857">
              <w:marLeft w:val="0"/>
              <w:marRight w:val="0"/>
              <w:marTop w:val="0"/>
              <w:marBottom w:val="0"/>
              <w:divBdr>
                <w:top w:val="none" w:sz="0" w:space="0" w:color="auto"/>
                <w:left w:val="none" w:sz="0" w:space="0" w:color="auto"/>
                <w:bottom w:val="none" w:sz="0" w:space="0" w:color="auto"/>
                <w:right w:val="none" w:sz="0" w:space="0" w:color="auto"/>
              </w:divBdr>
              <w:divsChild>
                <w:div w:id="757865935">
                  <w:marLeft w:val="0"/>
                  <w:marRight w:val="0"/>
                  <w:marTop w:val="0"/>
                  <w:marBottom w:val="0"/>
                  <w:divBdr>
                    <w:top w:val="none" w:sz="0" w:space="0" w:color="auto"/>
                    <w:left w:val="none" w:sz="0" w:space="0" w:color="auto"/>
                    <w:bottom w:val="none" w:sz="0" w:space="0" w:color="auto"/>
                    <w:right w:val="none" w:sz="0" w:space="0" w:color="auto"/>
                  </w:divBdr>
                  <w:divsChild>
                    <w:div w:id="1841769843">
                      <w:marLeft w:val="0"/>
                      <w:marRight w:val="0"/>
                      <w:marTop w:val="0"/>
                      <w:marBottom w:val="0"/>
                      <w:divBdr>
                        <w:top w:val="none" w:sz="0" w:space="0" w:color="auto"/>
                        <w:left w:val="none" w:sz="0" w:space="0" w:color="auto"/>
                        <w:bottom w:val="none" w:sz="0" w:space="0" w:color="auto"/>
                        <w:right w:val="none" w:sz="0" w:space="0" w:color="auto"/>
                      </w:divBdr>
                      <w:divsChild>
                        <w:div w:id="1629552963">
                          <w:marLeft w:val="0"/>
                          <w:marRight w:val="0"/>
                          <w:marTop w:val="0"/>
                          <w:marBottom w:val="0"/>
                          <w:divBdr>
                            <w:top w:val="none" w:sz="0" w:space="0" w:color="auto"/>
                            <w:left w:val="none" w:sz="0" w:space="0" w:color="auto"/>
                            <w:bottom w:val="none" w:sz="0" w:space="0" w:color="auto"/>
                            <w:right w:val="none" w:sz="0" w:space="0" w:color="auto"/>
                          </w:divBdr>
                          <w:divsChild>
                            <w:div w:id="710616860">
                              <w:marLeft w:val="0"/>
                              <w:marRight w:val="0"/>
                              <w:marTop w:val="0"/>
                              <w:marBottom w:val="0"/>
                              <w:divBdr>
                                <w:top w:val="none" w:sz="0" w:space="0" w:color="auto"/>
                                <w:left w:val="none" w:sz="0" w:space="0" w:color="auto"/>
                                <w:bottom w:val="none" w:sz="0" w:space="0" w:color="auto"/>
                                <w:right w:val="none" w:sz="0" w:space="0" w:color="auto"/>
                              </w:divBdr>
                              <w:divsChild>
                                <w:div w:id="774713215">
                                  <w:marLeft w:val="0"/>
                                  <w:marRight w:val="0"/>
                                  <w:marTop w:val="0"/>
                                  <w:marBottom w:val="0"/>
                                  <w:divBdr>
                                    <w:top w:val="none" w:sz="0" w:space="0" w:color="auto"/>
                                    <w:left w:val="none" w:sz="0" w:space="0" w:color="auto"/>
                                    <w:bottom w:val="none" w:sz="0" w:space="0" w:color="auto"/>
                                    <w:right w:val="none" w:sz="0" w:space="0" w:color="auto"/>
                                  </w:divBdr>
                                  <w:divsChild>
                                    <w:div w:id="84962747">
                                      <w:marLeft w:val="0"/>
                                      <w:marRight w:val="0"/>
                                      <w:marTop w:val="0"/>
                                      <w:marBottom w:val="0"/>
                                      <w:divBdr>
                                        <w:top w:val="none" w:sz="0" w:space="0" w:color="auto"/>
                                        <w:left w:val="none" w:sz="0" w:space="0" w:color="auto"/>
                                        <w:bottom w:val="none" w:sz="0" w:space="0" w:color="auto"/>
                                        <w:right w:val="none" w:sz="0" w:space="0" w:color="auto"/>
                                      </w:divBdr>
                                    </w:div>
                                    <w:div w:id="1522814539">
                                      <w:marLeft w:val="0"/>
                                      <w:marRight w:val="0"/>
                                      <w:marTop w:val="0"/>
                                      <w:marBottom w:val="0"/>
                                      <w:divBdr>
                                        <w:top w:val="none" w:sz="0" w:space="0" w:color="auto"/>
                                        <w:left w:val="none" w:sz="0" w:space="0" w:color="auto"/>
                                        <w:bottom w:val="none" w:sz="0" w:space="0" w:color="auto"/>
                                        <w:right w:val="none" w:sz="0" w:space="0" w:color="auto"/>
                                      </w:divBdr>
                                    </w:div>
                                    <w:div w:id="876040476">
                                      <w:marLeft w:val="0"/>
                                      <w:marRight w:val="0"/>
                                      <w:marTop w:val="0"/>
                                      <w:marBottom w:val="0"/>
                                      <w:divBdr>
                                        <w:top w:val="none" w:sz="0" w:space="0" w:color="auto"/>
                                        <w:left w:val="none" w:sz="0" w:space="0" w:color="auto"/>
                                        <w:bottom w:val="none" w:sz="0" w:space="0" w:color="auto"/>
                                        <w:right w:val="none" w:sz="0" w:space="0" w:color="auto"/>
                                      </w:divBdr>
                                    </w:div>
                                    <w:div w:id="945624544">
                                      <w:marLeft w:val="0"/>
                                      <w:marRight w:val="0"/>
                                      <w:marTop w:val="0"/>
                                      <w:marBottom w:val="0"/>
                                      <w:divBdr>
                                        <w:top w:val="none" w:sz="0" w:space="0" w:color="auto"/>
                                        <w:left w:val="none" w:sz="0" w:space="0" w:color="auto"/>
                                        <w:bottom w:val="none" w:sz="0" w:space="0" w:color="auto"/>
                                        <w:right w:val="none" w:sz="0" w:space="0" w:color="auto"/>
                                      </w:divBdr>
                                    </w:div>
                                    <w:div w:id="1147939559">
                                      <w:marLeft w:val="0"/>
                                      <w:marRight w:val="0"/>
                                      <w:marTop w:val="0"/>
                                      <w:marBottom w:val="0"/>
                                      <w:divBdr>
                                        <w:top w:val="none" w:sz="0" w:space="0" w:color="auto"/>
                                        <w:left w:val="none" w:sz="0" w:space="0" w:color="auto"/>
                                        <w:bottom w:val="none" w:sz="0" w:space="0" w:color="auto"/>
                                        <w:right w:val="none" w:sz="0" w:space="0" w:color="auto"/>
                                      </w:divBdr>
                                    </w:div>
                                    <w:div w:id="1837575769">
                                      <w:marLeft w:val="0"/>
                                      <w:marRight w:val="0"/>
                                      <w:marTop w:val="0"/>
                                      <w:marBottom w:val="0"/>
                                      <w:divBdr>
                                        <w:top w:val="none" w:sz="0" w:space="0" w:color="auto"/>
                                        <w:left w:val="none" w:sz="0" w:space="0" w:color="auto"/>
                                        <w:bottom w:val="none" w:sz="0" w:space="0" w:color="auto"/>
                                        <w:right w:val="none" w:sz="0" w:space="0" w:color="auto"/>
                                      </w:divBdr>
                                    </w:div>
                                    <w:div w:id="84856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006CB72D27CDAE4A90409EFAA7B36A06" ma:contentTypeVersion="18" ma:contentTypeDescription="Izveidot jaunu dokumentu." ma:contentTypeScope="" ma:versionID="e085bb028497d12a36a8551f8ab12371">
  <xsd:schema xmlns:xsd="http://www.w3.org/2001/XMLSchema" xmlns:xs="http://www.w3.org/2001/XMLSchema" xmlns:p="http://schemas.microsoft.com/office/2006/metadata/properties" xmlns:ns2="19946526-2228-45ca-ace3-bb8443774ddf" xmlns:ns3="9c795397-cf65-421f-b051-f0b326ca9b91" targetNamespace="http://schemas.microsoft.com/office/2006/metadata/properties" ma:root="true" ma:fieldsID="5fbfe9c3eff0f755f4a03c36cced7782" ns2:_="" ns3:_="">
    <xsd:import namespace="19946526-2228-45ca-ace3-bb8443774ddf"/>
    <xsd:import namespace="9c795397-cf65-421f-b051-f0b326ca9b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lcf76f155ced4ddcb4097134ff3c332f" minOccurs="0"/>
                <xsd:element ref="ns2:TaxCatchAll" minOccurs="0"/>
                <xsd:element ref="ns3:MediaServiceSearchPropertie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46526-2228-45ca-ace3-bb8443774ddf" elementFormDefault="qualified">
    <xsd:import namespace="http://schemas.microsoft.com/office/2006/documentManagement/types"/>
    <xsd:import namespace="http://schemas.microsoft.com/office/infopath/2007/PartnerControls"/>
    <xsd:element name="SharedWithUsers" ma:index="8"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description="" ma:internalName="SharedWithDetails" ma:readOnly="true">
      <xsd:simpleType>
        <xsd:restriction base="dms:Note">
          <xsd:maxLength value="255"/>
        </xsd:restriction>
      </xsd:simpleType>
    </xsd:element>
    <xsd:element name="TaxCatchAll" ma:index="22" nillable="true" ma:displayName="Taxonomy Catch All Column" ma:hidden="true" ma:list="{b12b17ed-f7ee-4d14-85c7-a9794208c961}" ma:internalName="TaxCatchAll" ma:showField="CatchAllData" ma:web="19946526-2228-45ca-ace3-bb8443774dd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c795397-cf65-421f-b051-f0b326ca9b9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648fc4e-0e92-4e7a-a4eb-7d7dd044ba68"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19946526-2228-45ca-ace3-bb8443774ddf" xsi:nil="true"/>
    <lcf76f155ced4ddcb4097134ff3c332f xmlns="9c795397-cf65-421f-b051-f0b326ca9b9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7928C0-FA85-4C1B-99C3-88A952598127}">
  <ds:schemaRefs>
    <ds:schemaRef ds:uri="http://schemas.microsoft.com/sharepoint/v3/contenttype/forms"/>
  </ds:schemaRefs>
</ds:datastoreItem>
</file>

<file path=customXml/itemProps2.xml><?xml version="1.0" encoding="utf-8"?>
<ds:datastoreItem xmlns:ds="http://schemas.openxmlformats.org/officeDocument/2006/customXml" ds:itemID="{44A04F02-04A6-4699-8100-4863A07EE9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46526-2228-45ca-ace3-bb8443774ddf"/>
    <ds:schemaRef ds:uri="9c795397-cf65-421f-b051-f0b326ca9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A995CC-37BF-45A8-A5F9-BBA850C554AD}">
  <ds:schemaRefs>
    <ds:schemaRef ds:uri="http://schemas.openxmlformats.org/officeDocument/2006/bibliography"/>
  </ds:schemaRefs>
</ds:datastoreItem>
</file>

<file path=customXml/itemProps4.xml><?xml version="1.0" encoding="utf-8"?>
<ds:datastoreItem xmlns:ds="http://schemas.openxmlformats.org/officeDocument/2006/customXml" ds:itemID="{D856D09B-7A72-4413-BCFD-5CE1E939FD84}">
  <ds:schemaRefs>
    <ds:schemaRef ds:uri="http://schemas.microsoft.com/office/2006/metadata/properties"/>
    <ds:schemaRef ds:uri="http://schemas.microsoft.com/office/infopath/2007/PartnerControls"/>
    <ds:schemaRef ds:uri="19946526-2228-45ca-ace3-bb8443774ddf"/>
    <ds:schemaRef ds:uri="9c795397-cf65-421f-b051-f0b326ca9b9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2749</Words>
  <Characters>15672</Characters>
  <Application>Microsoft Office Word</Application>
  <DocSecurity>0</DocSecurity>
  <Lines>130</Lines>
  <Paragraphs>36</Paragraphs>
  <ScaleCrop>false</ScaleCrop>
  <Company/>
  <LinksUpToDate>false</LinksUpToDate>
  <CharactersWithSpaces>18385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dc:creator>
  <cp:lastModifiedBy>Juris Pirags</cp:lastModifiedBy>
  <cp:revision>8</cp:revision>
  <cp:lastPrinted>2023-05-19T11:25:00Z</cp:lastPrinted>
  <dcterms:created xsi:type="dcterms:W3CDTF">2026-07-29T12:16:00Z</dcterms:created>
  <dcterms:modified xsi:type="dcterms:W3CDTF">2026-07-29T15:23:00Z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0x010100006CB72D27CDAE4A90409EFAA7B36A06</vt:lpwstr>
  </property>
  <property fmtid="{D5CDD505-2E9C-101B-9397-08002B2CF9AE}" pid="3" name="MediaServiceImageTags">
    <vt:lpwstr/>
  </property>
</Properties>
</file>