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17591" w14:textId="6F506DB7" w:rsidR="00F70491" w:rsidRPr="00B62AF2" w:rsidRDefault="00F70491" w:rsidP="00F70491">
      <w:pPr>
        <w:jc w:val="both"/>
        <w:rPr>
          <w:rFonts w:ascii="Times New Roman" w:hAnsi="Times New Roman" w:cs="Times New Roman"/>
          <w:sz w:val="24"/>
          <w:szCs w:val="24"/>
        </w:rPr>
      </w:pPr>
      <w:r w:rsidRPr="00B62AF2">
        <w:rPr>
          <w:rFonts w:ascii="Times New Roman" w:hAnsi="Times New Roman" w:cs="Times New Roman"/>
          <w:sz w:val="24"/>
          <w:szCs w:val="24"/>
        </w:rPr>
        <w:t xml:space="preserve">Labklājības ministrijas iepirkuma komisijas (turpmāk – Komisija) sniegtās atbildes uz ieinteresētā piegādātāja uzdoto jautājumu par atklātā konkursa </w:t>
      </w:r>
      <w:r w:rsidRPr="00F70491">
        <w:rPr>
          <w:rFonts w:ascii="Times New Roman" w:hAnsi="Times New Roman" w:cs="Times New Roman"/>
          <w:b/>
          <w:bCs/>
          <w:sz w:val="24"/>
          <w:szCs w:val="24"/>
        </w:rPr>
        <w:t>“</w:t>
      </w:r>
      <w:r w:rsidRPr="00F70491">
        <w:rPr>
          <w:rFonts w:ascii="Times New Roman" w:hAnsi="Times New Roman" w:cs="Times New Roman"/>
          <w:b/>
          <w:bCs/>
        </w:rPr>
        <w:t>Izvērtējums un rīcības modeļa izstrāde darba samaksas atšķirību mazināšanai</w:t>
      </w:r>
      <w:r w:rsidRPr="00B62AF2">
        <w:rPr>
          <w:rFonts w:ascii="Times New Roman" w:hAnsi="Times New Roman" w:cs="Times New Roman"/>
          <w:sz w:val="24"/>
          <w:szCs w:val="24"/>
        </w:rPr>
        <w:t>”, identifikācijas Nr. LR LM 2026/</w:t>
      </w:r>
      <w:r>
        <w:rPr>
          <w:rFonts w:ascii="Times New Roman" w:hAnsi="Times New Roman" w:cs="Times New Roman"/>
          <w:sz w:val="24"/>
          <w:szCs w:val="24"/>
        </w:rPr>
        <w:t>2</w:t>
      </w:r>
      <w:r w:rsidRPr="00B62AF2">
        <w:rPr>
          <w:rFonts w:ascii="Times New Roman" w:hAnsi="Times New Roman" w:cs="Times New Roman"/>
          <w:sz w:val="24"/>
          <w:szCs w:val="24"/>
        </w:rPr>
        <w:t>7 ESF+, nolikumu.</w:t>
      </w:r>
    </w:p>
    <w:p w14:paraId="11A7EFE7" w14:textId="77777777" w:rsidR="00F70491" w:rsidRPr="00B62AF2" w:rsidRDefault="00F70491" w:rsidP="00F70491">
      <w:pPr>
        <w:rPr>
          <w:rFonts w:ascii="Times New Roman" w:hAnsi="Times New Roman" w:cs="Times New Roman"/>
          <w:sz w:val="24"/>
          <w:szCs w:val="24"/>
        </w:rPr>
      </w:pPr>
    </w:p>
    <w:p w14:paraId="72AB3B8B" w14:textId="77777777" w:rsidR="00F70491" w:rsidRDefault="00F70491" w:rsidP="00F70491">
      <w:pPr>
        <w:rPr>
          <w:rFonts w:ascii="Times New Roman" w:hAnsi="Times New Roman" w:cs="Times New Roman"/>
          <w:b/>
          <w:bCs/>
          <w:sz w:val="24"/>
          <w:szCs w:val="24"/>
        </w:rPr>
      </w:pPr>
      <w:r w:rsidRPr="00B62AF2">
        <w:rPr>
          <w:rFonts w:ascii="Times New Roman" w:hAnsi="Times New Roman" w:cs="Times New Roman"/>
          <w:b/>
          <w:bCs/>
          <w:sz w:val="24"/>
          <w:szCs w:val="24"/>
        </w:rPr>
        <w:t>Jautājums:</w:t>
      </w:r>
    </w:p>
    <w:p w14:paraId="08520480" w14:textId="77777777" w:rsidR="00F70491" w:rsidRDefault="00F70491" w:rsidP="00F70491">
      <w:pPr>
        <w:pStyle w:val="Pamatteksts"/>
        <w:jc w:val="both"/>
        <w:rPr>
          <w:rFonts w:ascii="Times New Roman" w:hAnsi="Times New Roman"/>
          <w:sz w:val="24"/>
          <w:szCs w:val="24"/>
          <w:lang w:val="lv-LV"/>
        </w:rPr>
      </w:pPr>
      <w:r>
        <w:rPr>
          <w:rFonts w:ascii="Times New Roman" w:hAnsi="Times New Roman"/>
          <w:sz w:val="24"/>
          <w:szCs w:val="24"/>
          <w:lang w:val="lv-LV"/>
        </w:rPr>
        <w:t xml:space="preserve">Tehniskās specifikācijas (TS) 3. punktā "Pakalpojuma mērķis" ir noteikts, ka "Pakalpojuma mērķis ir veikt situācijas izvērtējumu par pārredzamas darba samaksas sistēmas praksi (turpmāk – Izvērtējums) un, balstoties uz Izvērtējuma rezultātiem, izstrādāt praktiski pielietojamu rīcības modeli ar skaidrojošām vadlīnijām, </w:t>
      </w:r>
      <w:r>
        <w:rPr>
          <w:rFonts w:ascii="Times New Roman" w:hAnsi="Times New Roman"/>
          <w:b/>
          <w:bCs/>
          <w:sz w:val="24"/>
          <w:szCs w:val="24"/>
          <w:lang w:val="lv-LV"/>
        </w:rPr>
        <w:t>lai sniegtu atbalstu Mērķa grupai</w:t>
      </w:r>
      <w:r>
        <w:rPr>
          <w:rFonts w:ascii="Times New Roman" w:hAnsi="Times New Roman"/>
          <w:sz w:val="24"/>
          <w:szCs w:val="24"/>
          <w:lang w:val="lv-LV"/>
        </w:rPr>
        <w:t xml:space="preserve"> un veicinātu dzimumneitrālos darba novērtēšanas un klasifikācijas principos balstītas, pārredzamas, Direktīvas prasībām atbilstošas darba samaksas sistēmas ieviešanu un/vai pilnveidi organizācijās Latvijā." TS 2. punktā "</w:t>
      </w:r>
      <w:r>
        <w:rPr>
          <w:rFonts w:ascii="Times New Roman" w:hAnsi="Times New Roman"/>
          <w:b/>
          <w:bCs/>
          <w:sz w:val="24"/>
          <w:szCs w:val="24"/>
          <w:lang w:val="lv-LV"/>
        </w:rPr>
        <w:t>Pakalpojuma mērķa grupa</w:t>
      </w:r>
      <w:r>
        <w:rPr>
          <w:rFonts w:ascii="Times New Roman" w:hAnsi="Times New Roman"/>
          <w:sz w:val="24"/>
          <w:szCs w:val="24"/>
          <w:lang w:val="lv-LV"/>
        </w:rPr>
        <w:t xml:space="preserve">" ir noteikts, ka Pakalpojums ir jāizstrādā </w:t>
      </w:r>
      <w:r>
        <w:rPr>
          <w:rFonts w:ascii="Times New Roman" w:hAnsi="Times New Roman"/>
          <w:b/>
          <w:bCs/>
          <w:sz w:val="24"/>
          <w:szCs w:val="24"/>
          <w:lang w:val="lv-LV"/>
        </w:rPr>
        <w:t>šādām mērķa grupām: valsts un pašvaldību iestādes un to kapitālsabiedrības; biedrības, nodibinājumi; mikro, mazie un vidējie uzņēmumi, saskaņā ar Eiropas Komisijas regulas Nr.651/2014 I pielikuma 2. panta definīciju</w:t>
      </w:r>
      <w:r>
        <w:rPr>
          <w:rFonts w:ascii="Times New Roman" w:hAnsi="Times New Roman"/>
          <w:sz w:val="24"/>
          <w:szCs w:val="24"/>
          <w:lang w:val="lv-LV"/>
        </w:rPr>
        <w:t xml:space="preserve">.  Atbilstoši Eiropas Komisijas regulas Nr.651/2014 I pielikuma 2. pantam ir noteiktas šādas kategorijas: Mikrouzņēmumu, mazo un vidējo uzņēmumu (“MVU”) kategorijā ietilpst uzņēmumi, </w:t>
      </w:r>
      <w:r>
        <w:rPr>
          <w:rFonts w:ascii="Times New Roman" w:hAnsi="Times New Roman"/>
          <w:b/>
          <w:bCs/>
          <w:sz w:val="24"/>
          <w:szCs w:val="24"/>
          <w:lang w:val="lv-LV"/>
        </w:rPr>
        <w:t>kam ir mazāk nekā 250 darbinieku</w:t>
      </w:r>
      <w:r>
        <w:rPr>
          <w:rFonts w:ascii="Times New Roman" w:hAnsi="Times New Roman"/>
          <w:sz w:val="24"/>
          <w:szCs w:val="24"/>
          <w:lang w:val="lv-LV"/>
        </w:rPr>
        <w:t xml:space="preserve"> un kuru gada apgrozījums nepārsniedz EUR 50 miljonus un/vai gada bilances kopsumma nepārsniedz EUR 43 miljonus.</w:t>
      </w:r>
    </w:p>
    <w:p w14:paraId="4D8353E1" w14:textId="77777777" w:rsidR="00F70491" w:rsidRDefault="00F70491" w:rsidP="00F70491">
      <w:pPr>
        <w:pStyle w:val="Pamatteksts"/>
        <w:jc w:val="both"/>
        <w:rPr>
          <w:rFonts w:ascii="Times New Roman" w:hAnsi="Times New Roman"/>
          <w:sz w:val="24"/>
          <w:szCs w:val="24"/>
          <w:lang w:val="lv-LV"/>
        </w:rPr>
      </w:pPr>
      <w:r>
        <w:rPr>
          <w:rFonts w:ascii="Times New Roman" w:hAnsi="Times New Roman"/>
          <w:sz w:val="24"/>
          <w:szCs w:val="24"/>
          <w:lang w:val="lv-LV"/>
        </w:rPr>
        <w:t xml:space="preserve">TS 4.2.5. punktā ir šāds darba uzdevums "veikt Rīcības modeļa testēšanu, iesaistot </w:t>
      </w:r>
      <w:r>
        <w:rPr>
          <w:rFonts w:ascii="Times New Roman" w:hAnsi="Times New Roman"/>
          <w:b/>
          <w:bCs/>
          <w:sz w:val="24"/>
          <w:szCs w:val="24"/>
          <w:lang w:val="lv-LV"/>
        </w:rPr>
        <w:t>dažāda veida un lieluma Mērķa grupas organizācijas</w:t>
      </w:r>
      <w:r>
        <w:rPr>
          <w:rFonts w:ascii="Times New Roman" w:hAnsi="Times New Roman"/>
          <w:sz w:val="24"/>
          <w:szCs w:val="24"/>
          <w:lang w:val="lv-LV"/>
        </w:rPr>
        <w:t xml:space="preserve"> un nodrošināt Mērķa grupas atgriezenisko saiti, Rīcības modeļa efektivitātes uzlabošanai un skaidrojošās daļas pilnveidošanai, t.sk. nodrošināt vismaz 2 (divas) testēšanas darbnīcas, iesaistot vismaz 8 (astoņas) Mērķa grupas organizācijas". Šajā darba uzdevumā pie vārda "lieluma" ir pievienota atsauce uz Direktīvas 9. panta 2.-5. Punktu. Direktīvas 9. panta 2. punktā noteikts "Darba devēji</w:t>
      </w:r>
      <w:r>
        <w:rPr>
          <w:rFonts w:ascii="Times New Roman" w:hAnsi="Times New Roman"/>
          <w:b/>
          <w:bCs/>
          <w:sz w:val="24"/>
          <w:szCs w:val="24"/>
          <w:lang w:val="lv-LV"/>
        </w:rPr>
        <w:t>, kuriem ir 250 darba ņēmēju vai vairāk</w:t>
      </w:r>
      <w:r>
        <w:rPr>
          <w:rFonts w:ascii="Times New Roman" w:hAnsi="Times New Roman"/>
          <w:sz w:val="24"/>
          <w:szCs w:val="24"/>
          <w:lang w:val="lv-LV"/>
        </w:rPr>
        <w:t xml:space="preserve">, līdz 2027. gada 7. jūnijam un pēc tam katru gadu sniedz 1. punktā izklāstīto informāciju attiecībā uz iepriekšējo kalendāro gadu." Vienlaikus TS 4.2.2. punktā norādīts uzdevums "izstrādāt Rīcības modeli (projektu, kurš tiks testēts </w:t>
      </w:r>
      <w:r>
        <w:rPr>
          <w:rFonts w:ascii="Times New Roman" w:hAnsi="Times New Roman"/>
          <w:b/>
          <w:bCs/>
          <w:sz w:val="24"/>
          <w:szCs w:val="24"/>
          <w:lang w:val="lv-LV"/>
        </w:rPr>
        <w:t>Mērķa grupas</w:t>
      </w:r>
      <w:r>
        <w:rPr>
          <w:rFonts w:ascii="Times New Roman" w:hAnsi="Times New Roman"/>
          <w:sz w:val="24"/>
          <w:szCs w:val="24"/>
          <w:lang w:val="lv-LV"/>
        </w:rPr>
        <w:t xml:space="preserve"> organizācijās)". </w:t>
      </w:r>
    </w:p>
    <w:p w14:paraId="4235AD1D" w14:textId="77777777" w:rsidR="00F70491" w:rsidRDefault="00F70491" w:rsidP="00F70491">
      <w:pPr>
        <w:pStyle w:val="Pamatteksts"/>
        <w:jc w:val="both"/>
        <w:rPr>
          <w:rFonts w:ascii="Times New Roman" w:hAnsi="Times New Roman"/>
          <w:sz w:val="24"/>
          <w:szCs w:val="24"/>
          <w:lang w:val="lv-LV"/>
        </w:rPr>
      </w:pPr>
      <w:r>
        <w:rPr>
          <w:rFonts w:ascii="Times New Roman" w:hAnsi="Times New Roman"/>
          <w:sz w:val="24"/>
          <w:szCs w:val="24"/>
          <w:lang w:val="lv-LV"/>
        </w:rPr>
        <w:t xml:space="preserve">TS 4.2.9.2. ir šāds uzdevums "specifisku informāciju un minimālos veicamo darbību soļus </w:t>
      </w:r>
      <w:r>
        <w:rPr>
          <w:rFonts w:ascii="Times New Roman" w:hAnsi="Times New Roman"/>
          <w:b/>
          <w:bCs/>
          <w:sz w:val="24"/>
          <w:szCs w:val="24"/>
          <w:lang w:val="lv-LV"/>
        </w:rPr>
        <w:t>dažāda lieluma</w:t>
      </w:r>
      <w:r>
        <w:rPr>
          <w:rFonts w:ascii="Times New Roman" w:hAnsi="Times New Roman"/>
          <w:sz w:val="24"/>
          <w:szCs w:val="24"/>
          <w:lang w:val="lv-LV"/>
        </w:rPr>
        <w:t xml:space="preserve"> organizācijām", kur pie vārds "lieluma" arī pievienota atsauce uz Direktīvas 9. panta 2.-5. punktu. Savukārt TS 4.2.9.6. punktā noteikts šādi "Rīcības modelis ir reāli pielietojams un ieviešams </w:t>
      </w:r>
      <w:r>
        <w:rPr>
          <w:rFonts w:ascii="Times New Roman" w:hAnsi="Times New Roman"/>
          <w:b/>
          <w:bCs/>
          <w:sz w:val="24"/>
          <w:szCs w:val="24"/>
          <w:lang w:val="lv-LV"/>
        </w:rPr>
        <w:t>Mērķa grupas</w:t>
      </w:r>
      <w:r>
        <w:rPr>
          <w:rFonts w:ascii="Times New Roman" w:hAnsi="Times New Roman"/>
          <w:sz w:val="24"/>
          <w:szCs w:val="24"/>
          <w:lang w:val="lv-LV"/>
        </w:rPr>
        <w:t xml:space="preserve"> organizācijās." </w:t>
      </w:r>
    </w:p>
    <w:p w14:paraId="203F0B3A" w14:textId="77777777" w:rsidR="00F70491" w:rsidRDefault="00F70491" w:rsidP="00F70491">
      <w:pPr>
        <w:pStyle w:val="Pamatteksts"/>
        <w:jc w:val="both"/>
        <w:rPr>
          <w:rFonts w:ascii="Times New Roman" w:hAnsi="Times New Roman"/>
          <w:sz w:val="24"/>
          <w:szCs w:val="24"/>
          <w:lang w:val="lv-LV"/>
        </w:rPr>
      </w:pPr>
      <w:r>
        <w:rPr>
          <w:rFonts w:ascii="Times New Roman" w:hAnsi="Times New Roman"/>
          <w:sz w:val="24"/>
          <w:szCs w:val="24"/>
          <w:lang w:val="lv-LV"/>
        </w:rPr>
        <w:t xml:space="preserve">Lai nodrošinātu vienotu izpratni par Rīcības modeļa tvērumu un izvairītos no atšķirīgas prasību interpretācijas, lūdzam precizēt, </w:t>
      </w:r>
      <w:r>
        <w:rPr>
          <w:rFonts w:ascii="Times New Roman" w:hAnsi="Times New Roman"/>
          <w:b/>
          <w:bCs/>
          <w:sz w:val="24"/>
          <w:szCs w:val="24"/>
          <w:lang w:val="lv-LV"/>
        </w:rPr>
        <w:t>vai Rīcības modelis izstrādājams tikai TS 2. punktā noteiktajām Mērķa grupām</w:t>
      </w:r>
      <w:r>
        <w:rPr>
          <w:rFonts w:ascii="Times New Roman" w:hAnsi="Times New Roman"/>
          <w:sz w:val="24"/>
          <w:szCs w:val="24"/>
          <w:lang w:val="lv-LV"/>
        </w:rPr>
        <w:t>, vai arī tajā nepieciešams paredzēt atsevišķus risinājumus un rekomendācijas visām organizāciju kategorijām, uz kurām attiecas Direktīvas 9. panta prasības</w:t>
      </w:r>
      <w:r>
        <w:rPr>
          <w:rFonts w:ascii="Times New Roman" w:hAnsi="Times New Roman"/>
          <w:b/>
          <w:bCs/>
          <w:sz w:val="24"/>
          <w:szCs w:val="24"/>
          <w:lang w:val="lv-LV"/>
        </w:rPr>
        <w:t>, tostarp organizācijām ar 250 un vairāk darbiniekiem.</w:t>
      </w:r>
    </w:p>
    <w:p w14:paraId="644FFCCA" w14:textId="77777777" w:rsidR="00B35144" w:rsidRDefault="00B35144"/>
    <w:p w14:paraId="6A469CA6" w14:textId="77777777" w:rsidR="0022398B" w:rsidRPr="00B62AF2" w:rsidRDefault="0022398B" w:rsidP="0022398B">
      <w:pPr>
        <w:rPr>
          <w:rFonts w:ascii="Times New Roman" w:hAnsi="Times New Roman" w:cs="Times New Roman"/>
          <w:b/>
          <w:bCs/>
          <w:sz w:val="24"/>
          <w:szCs w:val="24"/>
        </w:rPr>
      </w:pPr>
      <w:r w:rsidRPr="00B62AF2">
        <w:rPr>
          <w:rFonts w:ascii="Times New Roman" w:hAnsi="Times New Roman" w:cs="Times New Roman"/>
          <w:b/>
          <w:bCs/>
          <w:sz w:val="24"/>
          <w:szCs w:val="24"/>
        </w:rPr>
        <w:t>Komisijas atbilde:</w:t>
      </w:r>
    </w:p>
    <w:p w14:paraId="22131F54" w14:textId="56A8AED6" w:rsidR="002458E0" w:rsidRDefault="002458E0" w:rsidP="002458E0">
      <w:pPr>
        <w:jc w:val="both"/>
        <w:rPr>
          <w:rFonts w:ascii="Times New Roman" w:hAnsi="Times New Roman" w:cs="Times New Roman"/>
          <w:sz w:val="24"/>
          <w:szCs w:val="24"/>
        </w:rPr>
      </w:pPr>
      <w:r w:rsidRPr="008A3E6D">
        <w:rPr>
          <w:rFonts w:ascii="Times New Roman" w:hAnsi="Times New Roman" w:cs="Times New Roman"/>
          <w:sz w:val="24"/>
          <w:szCs w:val="24"/>
        </w:rPr>
        <w:t>Komisija norāda, ka  tiks veikt</w:t>
      </w:r>
      <w:r>
        <w:rPr>
          <w:rFonts w:ascii="Times New Roman" w:hAnsi="Times New Roman" w:cs="Times New Roman"/>
          <w:sz w:val="24"/>
          <w:szCs w:val="24"/>
        </w:rPr>
        <w:t>i</w:t>
      </w:r>
      <w:r w:rsidRPr="008A3E6D">
        <w:rPr>
          <w:rFonts w:ascii="Times New Roman" w:hAnsi="Times New Roman" w:cs="Times New Roman"/>
          <w:sz w:val="24"/>
          <w:szCs w:val="24"/>
        </w:rPr>
        <w:t xml:space="preserve"> grozījumi atklāta konkursa nolikum</w:t>
      </w:r>
      <w:r>
        <w:rPr>
          <w:rFonts w:ascii="Times New Roman" w:hAnsi="Times New Roman" w:cs="Times New Roman"/>
          <w:sz w:val="24"/>
          <w:szCs w:val="24"/>
        </w:rPr>
        <w:t>a tehniskajā specifikācijā</w:t>
      </w:r>
      <w:r w:rsidR="00C01C4B">
        <w:rPr>
          <w:rFonts w:ascii="Times New Roman" w:hAnsi="Times New Roman" w:cs="Times New Roman"/>
          <w:sz w:val="24"/>
          <w:szCs w:val="24"/>
        </w:rPr>
        <w:t>,</w:t>
      </w:r>
      <w:r>
        <w:rPr>
          <w:rFonts w:ascii="Times New Roman" w:hAnsi="Times New Roman" w:cs="Times New Roman"/>
          <w:sz w:val="24"/>
          <w:szCs w:val="24"/>
        </w:rPr>
        <w:t xml:space="preserve"> </w:t>
      </w:r>
      <w:r w:rsidR="00A95D97">
        <w:rPr>
          <w:rFonts w:ascii="Times New Roman" w:hAnsi="Times New Roman" w:cs="Times New Roman"/>
          <w:sz w:val="24"/>
          <w:szCs w:val="24"/>
        </w:rPr>
        <w:t xml:space="preserve">izsakot </w:t>
      </w:r>
      <w:r w:rsidR="005032EE">
        <w:rPr>
          <w:rFonts w:ascii="Times New Roman" w:hAnsi="Times New Roman" w:cs="Times New Roman"/>
          <w:sz w:val="24"/>
          <w:szCs w:val="24"/>
        </w:rPr>
        <w:t>tehniskās specifikācijas 25. un 28. zemsvītras atsauci šādā redakcijā:</w:t>
      </w:r>
    </w:p>
    <w:p w14:paraId="36596AEB" w14:textId="77777777" w:rsidR="005032EE" w:rsidRDefault="005032EE" w:rsidP="002458E0">
      <w:pPr>
        <w:jc w:val="both"/>
        <w:rPr>
          <w:rFonts w:ascii="Times New Roman" w:hAnsi="Times New Roman" w:cs="Times New Roman"/>
          <w:sz w:val="24"/>
          <w:szCs w:val="24"/>
        </w:rPr>
      </w:pPr>
      <w:bookmarkStart w:id="0" w:name="_Hlk229744261"/>
      <w:r w:rsidRPr="005032EE">
        <w:rPr>
          <w:rFonts w:ascii="Times New Roman" w:hAnsi="Times New Roman" w:cs="Times New Roman"/>
          <w:sz w:val="24"/>
          <w:szCs w:val="24"/>
        </w:rPr>
        <w:lastRenderedPageBreak/>
        <w:t>“</w:t>
      </w:r>
      <w:r w:rsidRPr="005032EE">
        <w:rPr>
          <w:rFonts w:ascii="Times New Roman" w:hAnsi="Times New Roman" w:cs="Times New Roman"/>
          <w:i/>
          <w:iCs/>
          <w:sz w:val="24"/>
          <w:szCs w:val="24"/>
        </w:rPr>
        <w:t>Saskaņā ar Direktīvas 9. panta 3. līdz 5. punktā noteikto</w:t>
      </w:r>
      <w:bookmarkEnd w:id="0"/>
      <w:r w:rsidRPr="005032EE">
        <w:rPr>
          <w:rFonts w:ascii="Times New Roman" w:hAnsi="Times New Roman" w:cs="Times New Roman"/>
          <w:i/>
          <w:iCs/>
          <w:sz w:val="24"/>
          <w:szCs w:val="24"/>
        </w:rPr>
        <w:t>.”,</w:t>
      </w:r>
      <w:r>
        <w:rPr>
          <w:rFonts w:ascii="Times New Roman" w:hAnsi="Times New Roman" w:cs="Times New Roman"/>
          <w:sz w:val="24"/>
          <w:szCs w:val="24"/>
        </w:rPr>
        <w:t xml:space="preserve"> </w:t>
      </w:r>
    </w:p>
    <w:p w14:paraId="6D734F52" w14:textId="3793ED58" w:rsidR="005032EE" w:rsidRDefault="005032EE" w:rsidP="002458E0">
      <w:pPr>
        <w:jc w:val="both"/>
        <w:rPr>
          <w:rFonts w:ascii="Times New Roman" w:hAnsi="Times New Roman" w:cs="Times New Roman"/>
          <w:sz w:val="24"/>
          <w:szCs w:val="24"/>
        </w:rPr>
      </w:pPr>
      <w:r>
        <w:rPr>
          <w:rFonts w:ascii="Times New Roman" w:hAnsi="Times New Roman" w:cs="Times New Roman"/>
          <w:sz w:val="24"/>
          <w:szCs w:val="24"/>
        </w:rPr>
        <w:t>kā arī papildināts tehniskās specifikācijas 4.2.9.2. apakš</w:t>
      </w:r>
      <w:r w:rsidR="00CD1D60">
        <w:rPr>
          <w:rFonts w:ascii="Times New Roman" w:hAnsi="Times New Roman" w:cs="Times New Roman"/>
          <w:sz w:val="24"/>
          <w:szCs w:val="24"/>
        </w:rPr>
        <w:t>p</w:t>
      </w:r>
      <w:r>
        <w:rPr>
          <w:rFonts w:ascii="Times New Roman" w:hAnsi="Times New Roman" w:cs="Times New Roman"/>
          <w:sz w:val="24"/>
          <w:szCs w:val="24"/>
        </w:rPr>
        <w:t xml:space="preserve">unkts ar vārdiem “Mērķa grupas” šādā redakcijā: </w:t>
      </w:r>
    </w:p>
    <w:p w14:paraId="3B96C25B" w14:textId="0A40A7D5" w:rsidR="005032EE" w:rsidRDefault="005032EE" w:rsidP="002458E0">
      <w:pPr>
        <w:jc w:val="both"/>
        <w:rPr>
          <w:rFonts w:ascii="Times New Roman" w:hAnsi="Times New Roman" w:cs="Times New Roman"/>
          <w:sz w:val="24"/>
          <w:szCs w:val="24"/>
        </w:rPr>
      </w:pPr>
      <w:r>
        <w:rPr>
          <w:rFonts w:ascii="Times New Roman" w:hAnsi="Times New Roman" w:cs="Times New Roman"/>
          <w:sz w:val="24"/>
          <w:szCs w:val="24"/>
        </w:rPr>
        <w:t>“</w:t>
      </w:r>
      <w:r w:rsidRPr="005032EE">
        <w:rPr>
          <w:rFonts w:ascii="Times New Roman" w:hAnsi="Times New Roman" w:cs="Times New Roman"/>
          <w:i/>
          <w:iCs/>
          <w:sz w:val="24"/>
          <w:szCs w:val="24"/>
        </w:rPr>
        <w:t>4.2.9.2. specifisku informāciju un minimālos veicamo darbību soļus dažāda lieluma Mērķa grupas organizācijām;”</w:t>
      </w:r>
    </w:p>
    <w:p w14:paraId="5C9C110A" w14:textId="6511DB04" w:rsidR="0022398B" w:rsidRDefault="0022398B" w:rsidP="002458E0"/>
    <w:sectPr w:rsidR="0022398B">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489BE" w14:textId="77777777" w:rsidR="005A57AB" w:rsidRDefault="005A57AB" w:rsidP="005032EE">
      <w:pPr>
        <w:spacing w:after="0" w:line="240" w:lineRule="auto"/>
      </w:pPr>
      <w:r>
        <w:separator/>
      </w:r>
    </w:p>
  </w:endnote>
  <w:endnote w:type="continuationSeparator" w:id="0">
    <w:p w14:paraId="6BEB7668" w14:textId="77777777" w:rsidR="005A57AB" w:rsidRDefault="005A57AB" w:rsidP="00503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AC033" w14:textId="77777777" w:rsidR="005A57AB" w:rsidRDefault="005A57AB" w:rsidP="005032EE">
      <w:pPr>
        <w:spacing w:after="0" w:line="240" w:lineRule="auto"/>
      </w:pPr>
      <w:r>
        <w:separator/>
      </w:r>
    </w:p>
  </w:footnote>
  <w:footnote w:type="continuationSeparator" w:id="0">
    <w:p w14:paraId="2E942855" w14:textId="77777777" w:rsidR="005A57AB" w:rsidRDefault="005A57AB" w:rsidP="005032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73A"/>
    <w:rsid w:val="001E0522"/>
    <w:rsid w:val="0022398B"/>
    <w:rsid w:val="002458E0"/>
    <w:rsid w:val="003D0E6D"/>
    <w:rsid w:val="003D7AEA"/>
    <w:rsid w:val="005032EE"/>
    <w:rsid w:val="005A57AB"/>
    <w:rsid w:val="00A0373A"/>
    <w:rsid w:val="00A95D97"/>
    <w:rsid w:val="00AF0E2D"/>
    <w:rsid w:val="00B1109B"/>
    <w:rsid w:val="00B35144"/>
    <w:rsid w:val="00C01C4B"/>
    <w:rsid w:val="00CD1D60"/>
    <w:rsid w:val="00E1710F"/>
    <w:rsid w:val="00F70491"/>
    <w:rsid w:val="00FD57B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85C35"/>
  <w15:chartTrackingRefBased/>
  <w15:docId w15:val="{D10A6F0E-C3F7-4F67-B0D4-A2BFA173C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70491"/>
    <w:rPr>
      <w:kern w:val="0"/>
      <w14:ligatures w14:val="none"/>
    </w:rPr>
  </w:style>
  <w:style w:type="paragraph" w:styleId="Virsraksts1">
    <w:name w:val="heading 1"/>
    <w:basedOn w:val="Parasts"/>
    <w:next w:val="Parasts"/>
    <w:link w:val="Virsraksts1Rakstz"/>
    <w:uiPriority w:val="9"/>
    <w:qFormat/>
    <w:rsid w:val="00A0373A"/>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Virsraksts2">
    <w:name w:val="heading 2"/>
    <w:basedOn w:val="Parasts"/>
    <w:next w:val="Parasts"/>
    <w:link w:val="Virsraksts2Rakstz"/>
    <w:uiPriority w:val="9"/>
    <w:semiHidden/>
    <w:unhideWhenUsed/>
    <w:qFormat/>
    <w:rsid w:val="00A0373A"/>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Virsraksts3">
    <w:name w:val="heading 3"/>
    <w:basedOn w:val="Parasts"/>
    <w:next w:val="Parasts"/>
    <w:link w:val="Virsraksts3Rakstz"/>
    <w:uiPriority w:val="9"/>
    <w:semiHidden/>
    <w:unhideWhenUsed/>
    <w:qFormat/>
    <w:rsid w:val="00A0373A"/>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Virsraksts4">
    <w:name w:val="heading 4"/>
    <w:basedOn w:val="Parasts"/>
    <w:next w:val="Parasts"/>
    <w:link w:val="Virsraksts4Rakstz"/>
    <w:uiPriority w:val="9"/>
    <w:semiHidden/>
    <w:unhideWhenUsed/>
    <w:qFormat/>
    <w:rsid w:val="00A0373A"/>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Virsraksts5">
    <w:name w:val="heading 5"/>
    <w:basedOn w:val="Parasts"/>
    <w:next w:val="Parasts"/>
    <w:link w:val="Virsraksts5Rakstz"/>
    <w:uiPriority w:val="9"/>
    <w:semiHidden/>
    <w:unhideWhenUsed/>
    <w:qFormat/>
    <w:rsid w:val="00A0373A"/>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Virsraksts6">
    <w:name w:val="heading 6"/>
    <w:basedOn w:val="Parasts"/>
    <w:next w:val="Parasts"/>
    <w:link w:val="Virsraksts6Rakstz"/>
    <w:uiPriority w:val="9"/>
    <w:semiHidden/>
    <w:unhideWhenUsed/>
    <w:qFormat/>
    <w:rsid w:val="00A0373A"/>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Virsraksts7">
    <w:name w:val="heading 7"/>
    <w:basedOn w:val="Parasts"/>
    <w:next w:val="Parasts"/>
    <w:link w:val="Virsraksts7Rakstz"/>
    <w:uiPriority w:val="9"/>
    <w:semiHidden/>
    <w:unhideWhenUsed/>
    <w:qFormat/>
    <w:rsid w:val="00A0373A"/>
    <w:pPr>
      <w:keepNext/>
      <w:keepLines/>
      <w:spacing w:before="40" w:after="0"/>
      <w:outlineLvl w:val="6"/>
    </w:pPr>
    <w:rPr>
      <w:rFonts w:eastAsiaTheme="majorEastAsia" w:cstheme="majorBidi"/>
      <w:color w:val="595959" w:themeColor="text1" w:themeTint="A6"/>
      <w:kern w:val="2"/>
      <w14:ligatures w14:val="standardContextual"/>
    </w:rPr>
  </w:style>
  <w:style w:type="paragraph" w:styleId="Virsraksts8">
    <w:name w:val="heading 8"/>
    <w:basedOn w:val="Parasts"/>
    <w:next w:val="Parasts"/>
    <w:link w:val="Virsraksts8Rakstz"/>
    <w:uiPriority w:val="9"/>
    <w:semiHidden/>
    <w:unhideWhenUsed/>
    <w:qFormat/>
    <w:rsid w:val="00A0373A"/>
    <w:pPr>
      <w:keepNext/>
      <w:keepLines/>
      <w:spacing w:after="0"/>
      <w:outlineLvl w:val="7"/>
    </w:pPr>
    <w:rPr>
      <w:rFonts w:eastAsiaTheme="majorEastAsia" w:cstheme="majorBidi"/>
      <w:i/>
      <w:iCs/>
      <w:color w:val="272727" w:themeColor="text1" w:themeTint="D8"/>
      <w:kern w:val="2"/>
      <w14:ligatures w14:val="standardContextual"/>
    </w:rPr>
  </w:style>
  <w:style w:type="paragraph" w:styleId="Virsraksts9">
    <w:name w:val="heading 9"/>
    <w:basedOn w:val="Parasts"/>
    <w:next w:val="Parasts"/>
    <w:link w:val="Virsraksts9Rakstz"/>
    <w:uiPriority w:val="9"/>
    <w:semiHidden/>
    <w:unhideWhenUsed/>
    <w:qFormat/>
    <w:rsid w:val="00A0373A"/>
    <w:pPr>
      <w:keepNext/>
      <w:keepLines/>
      <w:spacing w:after="0"/>
      <w:outlineLvl w:val="8"/>
    </w:pPr>
    <w:rPr>
      <w:rFonts w:eastAsiaTheme="majorEastAsia" w:cstheme="majorBidi"/>
      <w:color w:val="272727" w:themeColor="text1" w:themeTint="D8"/>
      <w:kern w:val="2"/>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0373A"/>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A0373A"/>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A0373A"/>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A0373A"/>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A0373A"/>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A0373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0373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0373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0373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0373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NosaukumsRakstz">
    <w:name w:val="Nosaukums Rakstz."/>
    <w:basedOn w:val="Noklusjumarindkopasfonts"/>
    <w:link w:val="Nosaukums"/>
    <w:uiPriority w:val="10"/>
    <w:rsid w:val="00A0373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0373A"/>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ApakvirsrakstsRakstz">
    <w:name w:val="Apakšvirsraksts Rakstz."/>
    <w:basedOn w:val="Noklusjumarindkopasfonts"/>
    <w:link w:val="Apakvirsraksts"/>
    <w:uiPriority w:val="11"/>
    <w:rsid w:val="00A0373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0373A"/>
    <w:pPr>
      <w:spacing w:before="160"/>
      <w:jc w:val="center"/>
    </w:pPr>
    <w:rPr>
      <w:i/>
      <w:iCs/>
      <w:color w:val="404040" w:themeColor="text1" w:themeTint="BF"/>
      <w:kern w:val="2"/>
      <w14:ligatures w14:val="standardContextual"/>
    </w:rPr>
  </w:style>
  <w:style w:type="character" w:customStyle="1" w:styleId="CittsRakstz">
    <w:name w:val="Citāts Rakstz."/>
    <w:basedOn w:val="Noklusjumarindkopasfonts"/>
    <w:link w:val="Citts"/>
    <w:uiPriority w:val="29"/>
    <w:rsid w:val="00A0373A"/>
    <w:rPr>
      <w:i/>
      <w:iCs/>
      <w:color w:val="404040" w:themeColor="text1" w:themeTint="BF"/>
    </w:rPr>
  </w:style>
  <w:style w:type="paragraph" w:styleId="Sarakstarindkopa">
    <w:name w:val="List Paragraph"/>
    <w:basedOn w:val="Parasts"/>
    <w:uiPriority w:val="34"/>
    <w:qFormat/>
    <w:rsid w:val="00A0373A"/>
    <w:pPr>
      <w:ind w:left="720"/>
      <w:contextualSpacing/>
    </w:pPr>
    <w:rPr>
      <w:kern w:val="2"/>
      <w14:ligatures w14:val="standardContextual"/>
    </w:rPr>
  </w:style>
  <w:style w:type="character" w:styleId="Intensvsizclums">
    <w:name w:val="Intense Emphasis"/>
    <w:basedOn w:val="Noklusjumarindkopasfonts"/>
    <w:uiPriority w:val="21"/>
    <w:qFormat/>
    <w:rsid w:val="00A0373A"/>
    <w:rPr>
      <w:i/>
      <w:iCs/>
      <w:color w:val="2F5496" w:themeColor="accent1" w:themeShade="BF"/>
    </w:rPr>
  </w:style>
  <w:style w:type="paragraph" w:styleId="Intensvscitts">
    <w:name w:val="Intense Quote"/>
    <w:basedOn w:val="Parasts"/>
    <w:next w:val="Parasts"/>
    <w:link w:val="IntensvscittsRakstz"/>
    <w:uiPriority w:val="30"/>
    <w:qFormat/>
    <w:rsid w:val="00A037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vscittsRakstz">
    <w:name w:val="Intensīvs citāts Rakstz."/>
    <w:basedOn w:val="Noklusjumarindkopasfonts"/>
    <w:link w:val="Intensvscitts"/>
    <w:uiPriority w:val="30"/>
    <w:rsid w:val="00A0373A"/>
    <w:rPr>
      <w:i/>
      <w:iCs/>
      <w:color w:val="2F5496" w:themeColor="accent1" w:themeShade="BF"/>
    </w:rPr>
  </w:style>
  <w:style w:type="character" w:styleId="Intensvaatsauce">
    <w:name w:val="Intense Reference"/>
    <w:basedOn w:val="Noklusjumarindkopasfonts"/>
    <w:uiPriority w:val="32"/>
    <w:qFormat/>
    <w:rsid w:val="00A0373A"/>
    <w:rPr>
      <w:b/>
      <w:bCs/>
      <w:smallCaps/>
      <w:color w:val="2F5496" w:themeColor="accent1" w:themeShade="BF"/>
      <w:spacing w:val="5"/>
    </w:rPr>
  </w:style>
  <w:style w:type="paragraph" w:styleId="Pamatteksts">
    <w:name w:val="Body Text"/>
    <w:basedOn w:val="Parasts"/>
    <w:link w:val="PamattekstsRakstz"/>
    <w:semiHidden/>
    <w:unhideWhenUsed/>
    <w:qFormat/>
    <w:rsid w:val="00F70491"/>
    <w:pPr>
      <w:spacing w:before="120" w:after="120" w:line="240" w:lineRule="auto"/>
    </w:pPr>
    <w:rPr>
      <w:rFonts w:ascii="Arial" w:eastAsia="Times New Roman" w:hAnsi="Arial" w:cs="Times New Roman"/>
      <w:szCs w:val="20"/>
      <w:lang w:val="en-US"/>
    </w:rPr>
  </w:style>
  <w:style w:type="character" w:customStyle="1" w:styleId="PamattekstsRakstz">
    <w:name w:val="Pamatteksts Rakstz."/>
    <w:basedOn w:val="Noklusjumarindkopasfonts"/>
    <w:link w:val="Pamatteksts"/>
    <w:semiHidden/>
    <w:rsid w:val="00F70491"/>
    <w:rPr>
      <w:rFonts w:ascii="Arial" w:eastAsia="Times New Roman" w:hAnsi="Arial" w:cs="Times New Roman"/>
      <w:kern w:val="0"/>
      <w:szCs w:val="20"/>
      <w:lang w:val="en-US"/>
      <w14:ligatures w14:val="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5032EE"/>
    <w:rPr>
      <w:vertAlign w:val="superscript"/>
    </w:rPr>
  </w:style>
  <w:style w:type="paragraph" w:customStyle="1" w:styleId="Char2">
    <w:name w:val="Char2"/>
    <w:aliases w:val="Char Char Char Char"/>
    <w:basedOn w:val="Parasts"/>
    <w:next w:val="Parasts"/>
    <w:link w:val="Vresatsauce"/>
    <w:uiPriority w:val="99"/>
    <w:rsid w:val="005032EE"/>
    <w:pPr>
      <w:spacing w:after="0" w:line="240" w:lineRule="exact"/>
      <w:ind w:firstLine="567"/>
      <w:jc w:val="both"/>
      <w:textAlignment w:val="baseline"/>
    </w:pPr>
    <w:rPr>
      <w:kern w:val="2"/>
      <w:vertAlign w:val="superscript"/>
      <w14:ligatures w14:val="standardContextual"/>
    </w:rPr>
  </w:style>
  <w:style w:type="paragraph" w:styleId="Vresteksts">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Parasts"/>
    <w:link w:val="VrestekstsRakstz"/>
    <w:uiPriority w:val="99"/>
    <w:unhideWhenUsed/>
    <w:qFormat/>
    <w:rsid w:val="005032EE"/>
    <w:pPr>
      <w:spacing w:after="0" w:line="240" w:lineRule="auto"/>
    </w:pPr>
    <w:rPr>
      <w:rFonts w:ascii="Times New Roman" w:eastAsia="Calibri" w:hAnsi="Times New Roman" w:cs="Times New Roman"/>
      <w:sz w:val="20"/>
      <w:szCs w:val="20"/>
      <w:u w:color="000000"/>
      <w:lang w:val="x-none"/>
    </w:rPr>
  </w:style>
  <w:style w:type="character" w:customStyle="1" w:styleId="VrestekstsRakstz">
    <w:name w:val="Vēres teksts Rakstz."/>
    <w:aliases w:val="Footnote Rakstz.,Fußnote Char Rakstz.,Fußnote Char Char Rakstz.,Fußnote Char Char Char Char Char Char Rakstz.,Char Rakstz.,Char10 Rakstz.,Char1 Rakstz.,Fußnotentext Char Char Char Rakstz.,f Rakstz.,fn Rakstz."/>
    <w:basedOn w:val="Noklusjumarindkopasfonts"/>
    <w:link w:val="Vresteksts"/>
    <w:uiPriority w:val="99"/>
    <w:qFormat/>
    <w:rsid w:val="005032EE"/>
    <w:rPr>
      <w:rFonts w:ascii="Times New Roman" w:eastAsia="Calibri" w:hAnsi="Times New Roman" w:cs="Times New Roman"/>
      <w:kern w:val="0"/>
      <w:sz w:val="20"/>
      <w:szCs w:val="20"/>
      <w:u w:color="000000"/>
      <w:lang w:val="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2245</Words>
  <Characters>1281</Characters>
  <Application>Microsoft Office Word</Application>
  <DocSecurity>0</DocSecurity>
  <Lines>10</Lines>
  <Paragraphs>7</Paragraphs>
  <ScaleCrop>false</ScaleCrop>
  <HeadingPairs>
    <vt:vector size="2" baseType="variant">
      <vt:variant>
        <vt:lpstr>Nosaukums</vt:lpstr>
      </vt:variant>
      <vt:variant>
        <vt:i4>1</vt:i4>
      </vt:variant>
    </vt:vector>
  </HeadingPairs>
  <TitlesOfParts>
    <vt:vector size="1" baseType="lpstr">
      <vt:lpstr/>
    </vt:vector>
  </TitlesOfParts>
  <Company>LRLM</Company>
  <LinksUpToDate>false</LinksUpToDate>
  <CharactersWithSpaces>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Timpare</dc:creator>
  <cp:keywords/>
  <dc:description/>
  <cp:lastModifiedBy>Linda Timpare</cp:lastModifiedBy>
  <cp:revision>6</cp:revision>
  <dcterms:created xsi:type="dcterms:W3CDTF">2026-08-12T06:23:00Z</dcterms:created>
  <dcterms:modified xsi:type="dcterms:W3CDTF">2026-08-12T11:39:00Z</dcterms:modified>
</cp:coreProperties>
</file>