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777D15" w14:textId="77777777" w:rsidR="00E71E82" w:rsidRPr="00076A5A" w:rsidRDefault="00E71E82" w:rsidP="00E71E82">
      <w:pPr>
        <w:keepNext/>
        <w:spacing w:after="0" w:line="240" w:lineRule="auto"/>
        <w:ind w:left="720" w:right="-384"/>
        <w:jc w:val="right"/>
        <w:outlineLvl w:val="0"/>
        <w:rPr>
          <w:rFonts w:ascii="Times New Roman" w:eastAsia="Times New Roman" w:hAnsi="Times New Roman" w:cs="Times New Roman"/>
          <w:bCs/>
          <w:i/>
          <w:iCs/>
          <w:color w:val="FF0000"/>
          <w:sz w:val="23"/>
          <w:szCs w:val="23"/>
          <w:lang w:eastAsia="ru-RU"/>
        </w:rPr>
      </w:pPr>
      <w:bookmarkStart w:id="0" w:name="_Toc108085049"/>
      <w:r w:rsidRPr="00076A5A">
        <w:rPr>
          <w:rFonts w:ascii="Times New Roman" w:eastAsia="Times New Roman" w:hAnsi="Times New Roman" w:cs="Times New Roman"/>
          <w:bCs/>
          <w:i/>
          <w:iCs/>
          <w:color w:val="FF0000"/>
          <w:sz w:val="23"/>
          <w:szCs w:val="23"/>
          <w:lang w:eastAsia="ru-RU"/>
        </w:rPr>
        <w:t>APSPRIEDEI AR PIEGĀDĀTĀJIEM</w:t>
      </w:r>
    </w:p>
    <w:p w14:paraId="2F065284" w14:textId="77777777" w:rsidR="00E71E82" w:rsidRPr="00B7651C" w:rsidRDefault="00E71E82" w:rsidP="00E71E82">
      <w:pPr>
        <w:keepNext/>
        <w:spacing w:after="0" w:line="240" w:lineRule="auto"/>
        <w:ind w:left="720" w:right="-101"/>
        <w:jc w:val="center"/>
        <w:outlineLvl w:val="0"/>
        <w:rPr>
          <w:rFonts w:ascii="Times New Roman" w:eastAsia="Times New Roman" w:hAnsi="Times New Roman" w:cs="Times New Roman"/>
          <w:b/>
          <w:sz w:val="23"/>
          <w:szCs w:val="23"/>
          <w:lang w:eastAsia="ru-RU"/>
        </w:rPr>
      </w:pPr>
    </w:p>
    <w:p w14:paraId="20985B29" w14:textId="77777777" w:rsidR="00E71E82" w:rsidRPr="00606EAA" w:rsidRDefault="00E71E82" w:rsidP="00E71E82">
      <w:pPr>
        <w:keepNext/>
        <w:spacing w:after="0" w:line="240" w:lineRule="auto"/>
        <w:ind w:right="-526"/>
        <w:jc w:val="center"/>
        <w:outlineLvl w:val="0"/>
        <w:rPr>
          <w:rFonts w:ascii="Times New Roman" w:eastAsia="Times New Roman" w:hAnsi="Times New Roman" w:cs="Times New Roman"/>
          <w:b/>
          <w:bCs/>
          <w:sz w:val="24"/>
          <w:szCs w:val="24"/>
          <w:lang w:eastAsia="ru-RU"/>
        </w:rPr>
      </w:pPr>
      <w:r w:rsidRPr="00606EAA">
        <w:rPr>
          <w:rFonts w:ascii="Times New Roman" w:eastAsia="Times New Roman" w:hAnsi="Times New Roman" w:cs="Times New Roman"/>
          <w:b/>
          <w:bCs/>
          <w:sz w:val="24"/>
          <w:szCs w:val="24"/>
          <w:lang w:eastAsia="ru-RU"/>
        </w:rPr>
        <w:t>Pretendentiem izvirzāmās kvalifikācijas prasības un iesniedzamie dokumenti</w:t>
      </w:r>
    </w:p>
    <w:p w14:paraId="0FEDF922" w14:textId="77777777" w:rsidR="00E71E82" w:rsidRDefault="00E71E82" w:rsidP="00E71E82">
      <w:pPr>
        <w:keepNext/>
        <w:spacing w:after="0" w:line="240" w:lineRule="auto"/>
        <w:ind w:right="-526"/>
        <w:jc w:val="center"/>
        <w:outlineLvl w:val="0"/>
        <w:rPr>
          <w:rFonts w:ascii="Times New Roman" w:eastAsia="Times New Roman" w:hAnsi="Times New Roman" w:cs="Times New Roman"/>
          <w:b/>
          <w:sz w:val="24"/>
          <w:szCs w:val="24"/>
          <w:lang w:eastAsia="ru-RU"/>
        </w:rPr>
      </w:pPr>
      <w:r w:rsidRPr="00606EAA">
        <w:rPr>
          <w:rFonts w:ascii="Times New Roman" w:eastAsia="Times New Roman" w:hAnsi="Times New Roman" w:cs="Times New Roman"/>
          <w:b/>
          <w:bCs/>
          <w:sz w:val="24"/>
          <w:szCs w:val="24"/>
          <w:lang w:eastAsia="ru-RU"/>
        </w:rPr>
        <w:t>plānotajā iepirkumā</w:t>
      </w:r>
    </w:p>
    <w:p w14:paraId="377B3A89" w14:textId="17F22F83" w:rsidR="00E71E82" w:rsidRDefault="00E71E82" w:rsidP="00E71E82">
      <w:pPr>
        <w:keepNext/>
        <w:spacing w:after="0" w:line="240" w:lineRule="auto"/>
        <w:ind w:right="-526"/>
        <w:jc w:val="center"/>
        <w:outlineLvl w:val="0"/>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“Medicīnisko iekārtu tehniskā apkope, remonts un rezerves daļu piegāde</w:t>
      </w:r>
      <w:r w:rsidRPr="00694DA8">
        <w:rPr>
          <w:rFonts w:ascii="Times New Roman" w:eastAsia="Times New Roman" w:hAnsi="Times New Roman" w:cs="Times New Roman"/>
          <w:b/>
          <w:sz w:val="24"/>
          <w:szCs w:val="24"/>
          <w:lang w:eastAsia="ru-RU"/>
        </w:rPr>
        <w:t>”</w:t>
      </w:r>
    </w:p>
    <w:p w14:paraId="0D81618E" w14:textId="77777777" w:rsidR="00E71E82" w:rsidRDefault="00E71E82" w:rsidP="00E71E82">
      <w:pPr>
        <w:keepNext/>
        <w:spacing w:after="0" w:line="240" w:lineRule="auto"/>
        <w:ind w:right="-526"/>
        <w:jc w:val="center"/>
        <w:outlineLvl w:val="0"/>
        <w:rPr>
          <w:rFonts w:ascii="Times New Roman" w:eastAsia="Times New Roman" w:hAnsi="Times New Roman" w:cs="Times New Roman"/>
          <w:b/>
          <w:sz w:val="24"/>
          <w:szCs w:val="24"/>
          <w:lang w:eastAsia="ru-RU"/>
        </w:rPr>
      </w:pPr>
    </w:p>
    <w:p w14:paraId="37883883" w14:textId="77777777" w:rsidR="00E71E82" w:rsidRPr="00694DA8" w:rsidRDefault="00E71E82" w:rsidP="00E71E82">
      <w:pPr>
        <w:keepNext/>
        <w:spacing w:after="0" w:line="240" w:lineRule="auto"/>
        <w:ind w:right="-527"/>
        <w:jc w:val="center"/>
        <w:outlineLvl w:val="0"/>
        <w:rPr>
          <w:rFonts w:ascii="Times New Roman" w:eastAsia="Times New Roman" w:hAnsi="Times New Roman" w:cs="Times New Roman"/>
          <w:b/>
          <w:sz w:val="24"/>
          <w:szCs w:val="24"/>
          <w:lang w:eastAsia="ru-RU"/>
        </w:rPr>
      </w:pPr>
    </w:p>
    <w:bookmarkEnd w:id="0"/>
    <w:p w14:paraId="7FECCEB4" w14:textId="77777777" w:rsidR="00E71E82" w:rsidRPr="00694DA8" w:rsidRDefault="00E71E82" w:rsidP="00E71E82">
      <w:pPr>
        <w:spacing w:after="0" w:line="240" w:lineRule="auto"/>
        <w:ind w:left="426" w:right="-1" w:hanging="425"/>
        <w:jc w:val="both"/>
        <w:rPr>
          <w:rFonts w:ascii="Times New Roman" w:hAnsi="Times New Roman" w:cs="Times New Roman"/>
          <w:bCs/>
          <w:sz w:val="24"/>
          <w:szCs w:val="24"/>
        </w:rPr>
      </w:pPr>
      <w:r w:rsidRPr="00694DA8">
        <w:rPr>
          <w:rFonts w:ascii="Times New Roman" w:eastAsia="Times New Roman" w:hAnsi="Times New Roman" w:cs="Times New Roman"/>
          <w:sz w:val="24"/>
          <w:szCs w:val="24"/>
          <w:lang w:eastAsia="ru-RU"/>
        </w:rPr>
        <w:t>1.</w:t>
      </w:r>
      <w:r w:rsidRPr="00694DA8">
        <w:rPr>
          <w:rFonts w:ascii="Times New Roman" w:eastAsia="Times New Roman" w:hAnsi="Times New Roman" w:cs="Times New Roman"/>
          <w:sz w:val="24"/>
          <w:szCs w:val="24"/>
        </w:rPr>
        <w:t xml:space="preserve"> </w:t>
      </w:r>
      <w:r w:rsidRPr="00694DA8">
        <w:rPr>
          <w:rFonts w:ascii="Times New Roman" w:eastAsia="Times New Roman" w:hAnsi="Times New Roman" w:cs="Times New Roman"/>
          <w:sz w:val="24"/>
          <w:szCs w:val="24"/>
        </w:rPr>
        <w:tab/>
      </w:r>
      <w:r w:rsidRPr="00694DA8">
        <w:rPr>
          <w:rFonts w:ascii="Times New Roman" w:hAnsi="Times New Roman" w:cs="Times New Roman"/>
          <w:bCs/>
          <w:sz w:val="24"/>
          <w:szCs w:val="24"/>
        </w:rPr>
        <w:t xml:space="preserve">Pretendenta kvalifikācijas (atlases) prasības ir obligātas visiem pretendentiem, </w:t>
      </w:r>
      <w:r>
        <w:rPr>
          <w:rFonts w:ascii="Times New Roman" w:hAnsi="Times New Roman" w:cs="Times New Roman"/>
          <w:bCs/>
          <w:sz w:val="24"/>
          <w:szCs w:val="24"/>
        </w:rPr>
        <w:t>kuri</w:t>
      </w:r>
      <w:r w:rsidRPr="00694DA8">
        <w:rPr>
          <w:rFonts w:ascii="Times New Roman" w:hAnsi="Times New Roman" w:cs="Times New Roman"/>
          <w:bCs/>
          <w:sz w:val="24"/>
          <w:szCs w:val="24"/>
        </w:rPr>
        <w:t xml:space="preserve"> vēlas iegūt Iepirkuma līguma slēgšanas tiesības.</w:t>
      </w:r>
    </w:p>
    <w:p w14:paraId="3AC2DCC8" w14:textId="77777777" w:rsidR="00E71E82" w:rsidRPr="00694DA8" w:rsidRDefault="00E71E82" w:rsidP="00E71E82">
      <w:pPr>
        <w:spacing w:after="0" w:line="240" w:lineRule="auto"/>
        <w:ind w:left="426" w:right="-1" w:hanging="425"/>
        <w:jc w:val="both"/>
        <w:rPr>
          <w:rFonts w:ascii="Times New Roman" w:eastAsia="Times New Roman" w:hAnsi="Times New Roman" w:cs="Times New Roman"/>
          <w:sz w:val="24"/>
          <w:szCs w:val="24"/>
        </w:rPr>
      </w:pPr>
      <w:r w:rsidRPr="00694DA8">
        <w:rPr>
          <w:rFonts w:ascii="Times New Roman" w:eastAsia="Times New Roman" w:hAnsi="Times New Roman" w:cs="Times New Roman"/>
          <w:sz w:val="24"/>
          <w:szCs w:val="24"/>
        </w:rPr>
        <w:t>2.</w:t>
      </w:r>
      <w:r w:rsidRPr="00694DA8">
        <w:rPr>
          <w:rFonts w:ascii="Times New Roman" w:eastAsia="Times New Roman" w:hAnsi="Times New Roman" w:cs="Times New Roman"/>
          <w:sz w:val="24"/>
          <w:szCs w:val="24"/>
        </w:rPr>
        <w:tab/>
      </w:r>
      <w:r w:rsidRPr="00694DA8">
        <w:rPr>
          <w:rFonts w:ascii="Times New Roman" w:hAnsi="Times New Roman" w:cs="Times New Roman"/>
          <w:bCs/>
          <w:sz w:val="24"/>
          <w:szCs w:val="24"/>
        </w:rPr>
        <w:t>Izziņas un citus dokumentus, kurus Publisko iepirkumu likuma (turpmāk – PIL) noteiktajos gadījumos izsniedz Latvijas Republikas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609CB534" w14:textId="77777777" w:rsidR="00E71E82" w:rsidRDefault="00E71E82" w:rsidP="00E71E82">
      <w:pPr>
        <w:spacing w:after="0" w:line="240" w:lineRule="auto"/>
        <w:ind w:left="426" w:right="-1" w:hanging="425"/>
        <w:jc w:val="both"/>
        <w:rPr>
          <w:rFonts w:ascii="Times New Roman" w:eastAsia="Times New Roman" w:hAnsi="Times New Roman" w:cs="Times New Roman"/>
          <w:sz w:val="24"/>
          <w:szCs w:val="24"/>
          <w:lang w:eastAsia="ru-RU"/>
        </w:rPr>
      </w:pPr>
      <w:r w:rsidRPr="00694DA8">
        <w:rPr>
          <w:rFonts w:ascii="Times New Roman" w:eastAsia="Times New Roman" w:hAnsi="Times New Roman" w:cs="Times New Roman"/>
          <w:sz w:val="24"/>
          <w:szCs w:val="24"/>
          <w:lang w:eastAsia="ru-RU"/>
        </w:rPr>
        <w:t>3.</w:t>
      </w:r>
      <w:r w:rsidRPr="00694DA8">
        <w:rPr>
          <w:rFonts w:ascii="Times New Roman" w:eastAsia="Times New Roman" w:hAnsi="Times New Roman" w:cs="Times New Roman"/>
          <w:sz w:val="24"/>
          <w:szCs w:val="24"/>
          <w:lang w:eastAsia="ru-RU"/>
        </w:rPr>
        <w:tab/>
        <w:t>Pretendentam jāatbilst šādām pretendentu kvalifikācijas (atlases) prasībām attiecībā uz pretendenta atbilstību profesionālās darbības veikšanai, kā arī tehniskajām un profesionālajām spējām un jāiesniedz šādi dokumenti (dokumenti attiecināmi uz visām iepirkuma priekšmeta daļām):</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4394"/>
      </w:tblGrid>
      <w:tr w:rsidR="00E71E82" w:rsidRPr="00DB36C6" w14:paraId="3DB2E248" w14:textId="77777777" w:rsidTr="00E71E82">
        <w:trPr>
          <w:tblHeader/>
        </w:trPr>
        <w:tc>
          <w:tcPr>
            <w:tcW w:w="4678" w:type="dxa"/>
            <w:shd w:val="clear" w:color="auto" w:fill="D9D9D9"/>
          </w:tcPr>
          <w:p w14:paraId="61C61DBC" w14:textId="77777777" w:rsidR="00E71E82" w:rsidRPr="00DB36C6" w:rsidRDefault="00E71E82" w:rsidP="005E4B73">
            <w:pPr>
              <w:jc w:val="center"/>
              <w:rPr>
                <w:b/>
              </w:rPr>
            </w:pPr>
            <w:r w:rsidRPr="00257DC3">
              <w:rPr>
                <w:b/>
              </w:rPr>
              <w:t>Pretendentam jāatbilst šādām kvalifikācijas prasībām:</w:t>
            </w:r>
          </w:p>
        </w:tc>
        <w:tc>
          <w:tcPr>
            <w:tcW w:w="4394" w:type="dxa"/>
            <w:shd w:val="clear" w:color="auto" w:fill="D9D9D9"/>
          </w:tcPr>
          <w:p w14:paraId="086FA252" w14:textId="77777777" w:rsidR="00E71E82" w:rsidRPr="00DB36C6" w:rsidRDefault="00E71E82" w:rsidP="005E4B73">
            <w:pPr>
              <w:jc w:val="center"/>
              <w:rPr>
                <w:b/>
              </w:rPr>
            </w:pPr>
            <w:r w:rsidRPr="00257DC3">
              <w:rPr>
                <w:b/>
              </w:rPr>
              <w:t>Pretendents, lai pierādītu atbilstību Pasūtītāja noteiktajām kvalifikācijas prasībām, iesniedz šādus dokumentus:</w:t>
            </w:r>
          </w:p>
        </w:tc>
      </w:tr>
      <w:tr w:rsidR="00E71E82" w:rsidRPr="00701478" w14:paraId="44B69DBC" w14:textId="77777777" w:rsidTr="00E71E82">
        <w:tc>
          <w:tcPr>
            <w:tcW w:w="4678" w:type="dxa"/>
          </w:tcPr>
          <w:p w14:paraId="129FAA5E" w14:textId="235EEBE3" w:rsidR="00E71E82" w:rsidRPr="00701478" w:rsidRDefault="00E71E82" w:rsidP="003A67AB">
            <w:pPr>
              <w:pStyle w:val="Nodala111"/>
              <w:ind w:left="462" w:hanging="283"/>
            </w:pPr>
            <w:r w:rsidRPr="00257DC3">
              <w:t xml:space="preserve">Pretendents piekrīt Nolikuma noteikumiem un iesniedz piedāvājumu, lai piedalītos </w:t>
            </w:r>
            <w:r>
              <w:t>Atklātā konkursā</w:t>
            </w:r>
            <w:r w:rsidRPr="0060345F">
              <w:t>.</w:t>
            </w:r>
          </w:p>
        </w:tc>
        <w:tc>
          <w:tcPr>
            <w:tcW w:w="4394" w:type="dxa"/>
          </w:tcPr>
          <w:p w14:paraId="12579332" w14:textId="78FB59B2" w:rsidR="00E71E82" w:rsidRPr="00701478" w:rsidRDefault="00E71E82" w:rsidP="003A67AB">
            <w:pPr>
              <w:pStyle w:val="Nodala1111"/>
              <w:numPr>
                <w:ilvl w:val="0"/>
                <w:numId w:val="0"/>
              </w:numPr>
              <w:spacing w:before="0" w:after="0"/>
              <w:ind w:left="36"/>
              <w:rPr>
                <w:i/>
              </w:rPr>
            </w:pPr>
            <w:r>
              <w:t>P</w:t>
            </w:r>
            <w:r w:rsidRPr="00257DC3">
              <w:t xml:space="preserve">retendenta </w:t>
            </w:r>
            <w:r>
              <w:t>parakstīts</w:t>
            </w:r>
            <w:r w:rsidRPr="00257DC3">
              <w:t xml:space="preserve">  Pieteikums par piedalīšanos </w:t>
            </w:r>
            <w:r>
              <w:t>Atklātā konkursā</w:t>
            </w:r>
            <w:r w:rsidRPr="00257DC3">
              <w:t xml:space="preserve"> </w:t>
            </w:r>
            <w:r w:rsidRPr="00257DC3">
              <w:rPr>
                <w:i/>
              </w:rPr>
              <w:t>(</w:t>
            </w:r>
            <w:r>
              <w:rPr>
                <w:i/>
              </w:rPr>
              <w:t>N</w:t>
            </w:r>
            <w:r w:rsidRPr="00257DC3">
              <w:rPr>
                <w:i/>
              </w:rPr>
              <w:t>olikuma 1.pielikums)</w:t>
            </w:r>
            <w:r w:rsidRPr="00257DC3">
              <w:t>.</w:t>
            </w:r>
          </w:p>
        </w:tc>
      </w:tr>
      <w:tr w:rsidR="00E71E82" w:rsidRPr="00257DC3" w14:paraId="1B5C2DD2" w14:textId="77777777" w:rsidTr="00E71E82">
        <w:tc>
          <w:tcPr>
            <w:tcW w:w="4678" w:type="dxa"/>
          </w:tcPr>
          <w:p w14:paraId="3A0A1DAE" w14:textId="77777777" w:rsidR="00E71E82" w:rsidRPr="00D87A08" w:rsidRDefault="00E71E82" w:rsidP="003A67AB">
            <w:pPr>
              <w:pStyle w:val="Nodala111"/>
              <w:ind w:left="462" w:hanging="283"/>
              <w:rPr>
                <w:rFonts w:eastAsia="Times New Roman"/>
                <w:kern w:val="56"/>
              </w:rPr>
            </w:pPr>
            <w:r w:rsidRPr="008E76F3">
              <w:t xml:space="preserve">Pretendents ir reģistrēts atbilstoši reģistrācijas valsts normatīvo aktu prasībām Komercreģistrā vai līdzvērtīgā reģistrā ārvalstīs atbilstoši  attiecīgās valsts normatīvo aktu prasībām. Pretendents ir reģistrēts kā saimnieciskās darbības veicējs Latvijas Republikas Valsts ieņēmumu dienesta (turpmāk – VID) Nodokļu maksātāju reģistrā vai līdzvērtīgā reģistrā </w:t>
            </w:r>
            <w:bookmarkStart w:id="1" w:name="_Hlk86226250"/>
            <w:r w:rsidRPr="008E76F3">
              <w:t>atbilstoši  attiecīgās valsts normatīvo aktu prasībām</w:t>
            </w:r>
            <w:bookmarkEnd w:id="1"/>
            <w:r>
              <w:t>.</w:t>
            </w:r>
          </w:p>
          <w:p w14:paraId="31217A79" w14:textId="77777777" w:rsidR="00E71E82" w:rsidRPr="00257DC3" w:rsidRDefault="00E71E82" w:rsidP="003A67AB">
            <w:pPr>
              <w:pStyle w:val="Nodala111"/>
              <w:numPr>
                <w:ilvl w:val="0"/>
                <w:numId w:val="0"/>
              </w:numPr>
              <w:spacing w:before="120"/>
              <w:ind w:left="459"/>
              <w:rPr>
                <w:rFonts w:eastAsia="Times New Roman"/>
                <w:kern w:val="56"/>
              </w:rPr>
            </w:pPr>
            <w:r>
              <w:t xml:space="preserve">Prasība attiecas </w:t>
            </w:r>
            <w:r w:rsidRPr="008E76F3">
              <w:t xml:space="preserve">arī uz personālsabiedrību un visiem personālsabiedrības biedriem </w:t>
            </w:r>
            <w:r w:rsidRPr="008E76F3">
              <w:rPr>
                <w:i/>
              </w:rPr>
              <w:t>(ja piedāvājumu iesniedz personālsabiedrība)</w:t>
            </w:r>
            <w:r w:rsidRPr="008E76F3">
              <w:t xml:space="preserve"> vai visiem piegādātāju apvienības dalībniekiem </w:t>
            </w:r>
            <w:r w:rsidRPr="008E76F3">
              <w:rPr>
                <w:i/>
              </w:rPr>
              <w:t>(ja piedāvājumu iesniedz piegādātāju apvienība)</w:t>
            </w:r>
            <w:r w:rsidRPr="008E76F3">
              <w:t xml:space="preserve">, kā arī apakšuzņēmējiem </w:t>
            </w:r>
            <w:r w:rsidRPr="008E76F3">
              <w:rPr>
                <w:i/>
              </w:rPr>
              <w:t>(ja pretendents plāno piesaistīt apakšuzņēmējus)</w:t>
            </w:r>
            <w:r w:rsidRPr="008E76F3">
              <w:t>.</w:t>
            </w:r>
          </w:p>
        </w:tc>
        <w:tc>
          <w:tcPr>
            <w:tcW w:w="4394" w:type="dxa"/>
          </w:tcPr>
          <w:p w14:paraId="6C643AC3" w14:textId="77777777" w:rsidR="00E71E82" w:rsidRPr="008E76F3" w:rsidRDefault="00E71E82" w:rsidP="003A67AB">
            <w:pPr>
              <w:pStyle w:val="Nodala1111"/>
              <w:numPr>
                <w:ilvl w:val="0"/>
                <w:numId w:val="0"/>
              </w:numPr>
              <w:ind w:left="36"/>
            </w:pPr>
            <w:r w:rsidRPr="008E76F3">
              <w:t xml:space="preserve">Informāciju par pretendentu, kas ir reģistrēts LV Komercreģistrā, </w:t>
            </w:r>
            <w:r>
              <w:t>k</w:t>
            </w:r>
            <w:r w:rsidRPr="008E76F3">
              <w:t xml:space="preserve">omisija pārbauda Uzņēmumu reģistra mājaslapā (skat. </w:t>
            </w:r>
            <w:hyperlink r:id="rId7" w:tgtFrame="_blank" w:history="1">
              <w:r w:rsidRPr="008E76F3">
                <w:rPr>
                  <w:rStyle w:val="Hipersaite"/>
                </w:rPr>
                <w:t>www.ur.gov.lv/?a=936&amp;z=631&amp;v=lv</w:t>
              </w:r>
            </w:hyperlink>
            <w:r>
              <w:t>) vai citā vietnē, kur iespējams pārliecināties par pretendenta atbilstību noteikumiem,</w:t>
            </w:r>
            <w:r w:rsidRPr="008E76F3">
              <w:t xml:space="preserve"> ja pretendents nav iesniedzis komersanta reģistrācijas apliecības kopiju.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(skat. </w:t>
            </w:r>
            <w:hyperlink r:id="rId8" w:history="1">
              <w:r w:rsidRPr="008E76F3">
                <w:rPr>
                  <w:rStyle w:val="Hipersaite"/>
                </w:rPr>
                <w:t>https://www6.vid.gov.lv/SDV</w:t>
              </w:r>
            </w:hyperlink>
            <w:r w:rsidRPr="008E76F3">
              <w:t>).</w:t>
            </w:r>
          </w:p>
          <w:p w14:paraId="5C2F3DA1" w14:textId="77777777" w:rsidR="00E71E82" w:rsidRPr="00257DC3" w:rsidRDefault="00E71E82" w:rsidP="003A67AB">
            <w:pPr>
              <w:pStyle w:val="Nodala1111"/>
              <w:numPr>
                <w:ilvl w:val="0"/>
                <w:numId w:val="0"/>
              </w:numPr>
            </w:pPr>
            <w:r w:rsidRPr="008E76F3">
              <w:t>Pretendents, kas reģistrēts ārvalstīs – iesniedz kompetentas attiecīgās valsts institūcijas izsniegtu dokumenta kopiju, kas apliecina, ka pretendents ir reģistrēts atbilstoši tās valsts normatīvo aktu prasībām</w:t>
            </w:r>
            <w:r>
              <w:t xml:space="preserve">. </w:t>
            </w:r>
            <w:r w:rsidRPr="008E76F3">
              <w:t xml:space="preserve">Ja attiecīgās reģistrācijas valsts normatīvais regulējums neparedz reģistrācijas apliecības izdošanu, tad pretendents iesniedz informāciju par pretendenta reģistrācijas nr. un reģistrācijas laiku, kā arī norāda kompetento iestādi reģistrācijas valstī, </w:t>
            </w:r>
            <w:r w:rsidRPr="00DB0660">
              <w:t xml:space="preserve">kas nepieciešamības gadījumā var apliecināt reģistrācijas faktu. </w:t>
            </w:r>
            <w:bookmarkStart w:id="2" w:name="_Hlk188287671"/>
            <w:r w:rsidRPr="00DB0660">
              <w:lastRenderedPageBreak/>
              <w:t>Pretendents var arī norādīt publiski pieejamu reģistru (interneta vietni), kur komisija varētu pārliecināties par pretendenta reģistrācijas faktu.</w:t>
            </w:r>
            <w:bookmarkEnd w:id="2"/>
          </w:p>
        </w:tc>
      </w:tr>
      <w:tr w:rsidR="00E71E82" w:rsidRPr="00257DC3" w14:paraId="17DCB3C7" w14:textId="77777777" w:rsidTr="00E71E82">
        <w:tc>
          <w:tcPr>
            <w:tcW w:w="4678" w:type="dxa"/>
          </w:tcPr>
          <w:p w14:paraId="35248E60" w14:textId="77777777" w:rsidR="00683FD2" w:rsidRPr="00683FD2" w:rsidRDefault="00683FD2" w:rsidP="00683FD2">
            <w:pPr>
              <w:pStyle w:val="Nodala111"/>
              <w:ind w:left="462" w:hanging="283"/>
            </w:pPr>
            <w:r w:rsidRPr="00683FD2">
              <w:lastRenderedPageBreak/>
              <w:t>Pretendents ir autorizēts veikt ierīces uzturēšanu, tai skaitā ražotāja noteiktos periodiski veicamos darbus (apkopi* un tehnisko uzraudzību**) un remontdarbus.</w:t>
            </w:r>
          </w:p>
          <w:p w14:paraId="75E36B67" w14:textId="77777777" w:rsidR="00E71E82" w:rsidRPr="00082217" w:rsidRDefault="00E71E82" w:rsidP="003A67AB">
            <w:pPr>
              <w:pStyle w:val="Pamatteksts"/>
              <w:spacing w:after="0" w:line="240" w:lineRule="auto"/>
              <w:ind w:left="462" w:hanging="283"/>
              <w:jc w:val="both"/>
              <w:rPr>
                <w:rFonts w:ascii="Times New Roman" w:hAnsi="Times New Roman" w:cs="Times New Roman"/>
                <w:sz w:val="20"/>
                <w:szCs w:val="20"/>
              </w:rPr>
            </w:pPr>
            <w:r w:rsidRPr="00082217">
              <w:rPr>
                <w:rFonts w:ascii="Times New Roman" w:hAnsi="Times New Roman" w:cs="Times New Roman"/>
                <w:sz w:val="20"/>
                <w:szCs w:val="20"/>
              </w:rPr>
              <w:t>*Apkope (tehniskā apkope) - ir ražotāja noteikts pasākumu kopums attiecībā uz konkrētajai medicīniskajai ierīcei tās ekspluatācijas laikā veicamo apkopes procedūru, t.sk. vismaz tie programmatūras atjauninājumi, kuri neietver funkcionalitātes papildinājumu, ievērojot visas ražotāja noteiktās prasības, iekļaujot regulāri maināmo rezerves daļu klāstu, iestatīšanas vai kalibrēšanas procesus, atbilstoši ražotāja noteiktajiem termiņiem.</w:t>
            </w:r>
          </w:p>
          <w:p w14:paraId="7A3D264E" w14:textId="67C26884" w:rsidR="00E71E82" w:rsidRPr="003A67AB" w:rsidRDefault="00E71E82" w:rsidP="003A67AB">
            <w:pPr>
              <w:pStyle w:val="Pamatteksts"/>
              <w:spacing w:line="240" w:lineRule="auto"/>
              <w:ind w:left="462" w:hanging="283"/>
              <w:jc w:val="both"/>
              <w:rPr>
                <w:rFonts w:ascii="Times New Roman" w:hAnsi="Times New Roman" w:cs="Times New Roman"/>
                <w:sz w:val="20"/>
                <w:szCs w:val="20"/>
              </w:rPr>
            </w:pPr>
            <w:r w:rsidRPr="00082217">
              <w:rPr>
                <w:rFonts w:ascii="Times New Roman" w:hAnsi="Times New Roman" w:cs="Times New Roman"/>
                <w:sz w:val="20"/>
                <w:szCs w:val="20"/>
              </w:rPr>
              <w:t>**Tehniskā uzraudzība - ir ražotāja noteikts pasākumu kopums attiecībā uz konkrētajai medicīniskajai ierīcei tās ekspluatācijas laikā veicamajām elektrodrošības un funkcionālajām pārbaudēm, ievērojot visus ražotāja noteiktos atbilstības kritērijus (robežvērtības), kas atbilst ražotāja noteiktajiem termiņiem un pēc katras tādas lietošanas, apkopes un remonta procedūras, kas var ietekmēt ierīces tehniskos parametrus.</w:t>
            </w:r>
          </w:p>
        </w:tc>
        <w:tc>
          <w:tcPr>
            <w:tcW w:w="4394" w:type="dxa"/>
          </w:tcPr>
          <w:p w14:paraId="717B80C9" w14:textId="77777777" w:rsidR="00683FD2" w:rsidRPr="00683FD2" w:rsidRDefault="00683FD2" w:rsidP="00683FD2">
            <w:pPr>
              <w:pStyle w:val="Nodala111"/>
              <w:numPr>
                <w:ilvl w:val="0"/>
                <w:numId w:val="0"/>
              </w:numPr>
              <w:ind w:left="36"/>
              <w:rPr>
                <w:sz w:val="24"/>
                <w:szCs w:val="24"/>
              </w:rPr>
            </w:pPr>
            <w:r w:rsidRPr="00683FD2">
              <w:rPr>
                <w:sz w:val="24"/>
                <w:szCs w:val="24"/>
              </w:rPr>
              <w:t>Pretendents iesniedz ražotāja vai tā pilnvarota pārstāvja izsniegtu apliecinājumu, kas apliecina, ka Pretendents ir autorizēts veikt attiecīgās ierīces uzturēšanu, tai skaitā ražotāja noteiktos periodiski veicamos darbus (apkopi un tehnisko uzraudzību*) un remontdarbus.**</w:t>
            </w:r>
          </w:p>
          <w:p w14:paraId="787270A4" w14:textId="767B410D" w:rsidR="00E71E82" w:rsidRPr="00683FD2" w:rsidRDefault="00B62F9B" w:rsidP="00683FD2">
            <w:pPr>
              <w:pStyle w:val="Nodala111"/>
              <w:numPr>
                <w:ilvl w:val="0"/>
                <w:numId w:val="0"/>
              </w:numPr>
              <w:ind w:left="36"/>
              <w:rPr>
                <w:sz w:val="24"/>
                <w:szCs w:val="24"/>
              </w:rPr>
            </w:pPr>
            <w:r w:rsidRPr="00683FD2">
              <w:rPr>
                <w:sz w:val="24"/>
                <w:szCs w:val="24"/>
              </w:rPr>
              <w:t>.</w:t>
            </w:r>
          </w:p>
          <w:p w14:paraId="16F38908" w14:textId="59F748CC" w:rsidR="00E71E82" w:rsidRPr="008E76F3" w:rsidRDefault="00E71E82" w:rsidP="00B62F9B">
            <w:pPr>
              <w:pStyle w:val="Nodala1111"/>
              <w:numPr>
                <w:ilvl w:val="0"/>
                <w:numId w:val="0"/>
              </w:numPr>
              <w:ind w:left="2268" w:hanging="861"/>
            </w:pPr>
          </w:p>
        </w:tc>
      </w:tr>
      <w:tr w:rsidR="00B62F9B" w:rsidRPr="00257DC3" w14:paraId="12D6B5A5" w14:textId="77777777" w:rsidTr="00E71E82">
        <w:tc>
          <w:tcPr>
            <w:tcW w:w="4678" w:type="dxa"/>
          </w:tcPr>
          <w:p w14:paraId="79D6A12B" w14:textId="2421C3D4" w:rsidR="00B62F9B" w:rsidRPr="001F6C8C" w:rsidRDefault="001F6C8C" w:rsidP="001F6C8C">
            <w:pPr>
              <w:pStyle w:val="Nodala111"/>
              <w:ind w:left="462" w:hanging="283"/>
            </w:pPr>
            <w:r>
              <w:t>J</w:t>
            </w:r>
            <w:r w:rsidRPr="001F6C8C">
              <w:t xml:space="preserve">a iekārtas ražotājs paredz, ka tehniskajā specifikācijā norādīto iekārtu periodisko apkopi, tehnisko uzraudzību un/vai remontdarbus drīkst veikt tikai ražotāja sertificēts vai apmācīts speciālists, Pretendenta rīcībā visā iepirkuma līguma izpildes laikā ir jābūt vismaz vienam šādam speciālistam. </w:t>
            </w:r>
          </w:p>
        </w:tc>
        <w:tc>
          <w:tcPr>
            <w:tcW w:w="4394" w:type="dxa"/>
          </w:tcPr>
          <w:p w14:paraId="6342511E" w14:textId="77777777" w:rsidR="00683FD2" w:rsidRPr="00683FD2" w:rsidRDefault="00683FD2" w:rsidP="00683FD2">
            <w:pPr>
              <w:pStyle w:val="Nodala111"/>
              <w:ind w:left="36"/>
              <w:rPr>
                <w:sz w:val="24"/>
                <w:szCs w:val="24"/>
              </w:rPr>
            </w:pPr>
            <w:r w:rsidRPr="00683FD2">
              <w:rPr>
                <w:sz w:val="24"/>
                <w:szCs w:val="24"/>
              </w:rPr>
              <w:t>Pretendents iesniedz derīgu ražotāja vai tā autorizēta servisa izsniegtu dokumentu (apliecību, sertifikātu, licenci vai citu līdzvērtīgu dokumentu), kas apliecina speciālista apmācību, kvalifikāciju un tiesības veikt konkrētās iekārtas tehnisko apkopi, tehnisko uzraudzību un/vai remontdarbus atbilstoši ražotāja noteiktajām prasībām.</w:t>
            </w:r>
          </w:p>
          <w:p w14:paraId="450150CB" w14:textId="4092C7BD" w:rsidR="001F6C8C" w:rsidRPr="003C26AC" w:rsidRDefault="001F6C8C" w:rsidP="001F6C8C">
            <w:pPr>
              <w:pStyle w:val="Nodala111"/>
              <w:numPr>
                <w:ilvl w:val="0"/>
                <w:numId w:val="0"/>
              </w:numPr>
              <w:ind w:left="-541"/>
              <w:rPr>
                <w:sz w:val="23"/>
                <w:szCs w:val="23"/>
              </w:rPr>
            </w:pPr>
            <w:r w:rsidRPr="003C26AC">
              <w:rPr>
                <w:sz w:val="23"/>
                <w:szCs w:val="23"/>
              </w:rPr>
              <w:t>.</w:t>
            </w:r>
          </w:p>
          <w:p w14:paraId="39F1F87D" w14:textId="5532F57A" w:rsidR="00B62F9B" w:rsidRPr="00B62F9B" w:rsidRDefault="00B62F9B" w:rsidP="001F6C8C">
            <w:pPr>
              <w:pStyle w:val="Nodala111"/>
              <w:numPr>
                <w:ilvl w:val="0"/>
                <w:numId w:val="0"/>
              </w:numPr>
              <w:ind w:left="360"/>
              <w:rPr>
                <w:sz w:val="24"/>
                <w:szCs w:val="24"/>
              </w:rPr>
            </w:pPr>
          </w:p>
        </w:tc>
      </w:tr>
    </w:tbl>
    <w:p w14:paraId="61F09D5E" w14:textId="77777777" w:rsidR="00E71E82" w:rsidRDefault="00E71E82"/>
    <w:sectPr w:rsidR="00E71E82" w:rsidSect="00E71E82">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C016AE" w14:textId="77777777" w:rsidR="00620064" w:rsidRDefault="00620064" w:rsidP="00E71E82">
      <w:pPr>
        <w:spacing w:after="0" w:line="240" w:lineRule="auto"/>
      </w:pPr>
      <w:r>
        <w:separator/>
      </w:r>
    </w:p>
  </w:endnote>
  <w:endnote w:type="continuationSeparator" w:id="0">
    <w:p w14:paraId="0407A312" w14:textId="77777777" w:rsidR="00620064" w:rsidRDefault="00620064" w:rsidP="00E71E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okChampa">
    <w:charset w:val="DE"/>
    <w:family w:val="swiss"/>
    <w:pitch w:val="variable"/>
    <w:sig w:usb0="83000003" w:usb1="00000000" w:usb2="00000000" w:usb3="00000000" w:csb0="00010001"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3DEB9E" w14:textId="77777777" w:rsidR="00620064" w:rsidRDefault="00620064" w:rsidP="00E71E82">
      <w:pPr>
        <w:spacing w:after="0" w:line="240" w:lineRule="auto"/>
      </w:pPr>
      <w:r>
        <w:separator/>
      </w:r>
    </w:p>
  </w:footnote>
  <w:footnote w:type="continuationSeparator" w:id="0">
    <w:p w14:paraId="5139E0F6" w14:textId="77777777" w:rsidR="00620064" w:rsidRDefault="00620064" w:rsidP="00E71E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7F7CB6"/>
    <w:multiLevelType w:val="multilevel"/>
    <w:tmpl w:val="239C6C90"/>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b w:val="0"/>
        <w:i w:val="0"/>
        <w:iCs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15:restartNumberingAfterBreak="0">
    <w:nsid w:val="760851EB"/>
    <w:multiLevelType w:val="multilevel"/>
    <w:tmpl w:val="B81C7E94"/>
    <w:lvl w:ilvl="0">
      <w:start w:val="1"/>
      <w:numFmt w:val="decimal"/>
      <w:pStyle w:val="Nodala1"/>
      <w:lvlText w:val="%1."/>
      <w:lvlJc w:val="left"/>
      <w:pPr>
        <w:ind w:left="1353" w:hanging="360"/>
      </w:pPr>
      <w:rPr>
        <w:rFonts w:hint="default"/>
        <w:b/>
      </w:rPr>
    </w:lvl>
    <w:lvl w:ilvl="1">
      <w:start w:val="1"/>
      <w:numFmt w:val="decimal"/>
      <w:pStyle w:val="Nodala11"/>
      <w:isLgl/>
      <w:lvlText w:val="%1.%2."/>
      <w:lvlJc w:val="left"/>
      <w:pPr>
        <w:ind w:left="36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3)"/>
      <w:lvlJc w:val="left"/>
      <w:pPr>
        <w:ind w:left="1080" w:hanging="720"/>
      </w:pPr>
      <w:rPr>
        <w:rFonts w:ascii="Times New Roman" w:eastAsia="Calibri" w:hAnsi="Times New Roman" w:cs="Times New Roman"/>
        <w:b w:val="0"/>
      </w:rPr>
    </w:lvl>
    <w:lvl w:ilvl="3">
      <w:start w:val="1"/>
      <w:numFmt w:val="decimal"/>
      <w:pStyle w:val="Nodala1111"/>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16cid:durableId="1726946774">
    <w:abstractNumId w:val="1"/>
  </w:num>
  <w:num w:numId="2" w16cid:durableId="4690524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E82"/>
    <w:rsid w:val="001F6C8C"/>
    <w:rsid w:val="002E402C"/>
    <w:rsid w:val="003A67AB"/>
    <w:rsid w:val="00620064"/>
    <w:rsid w:val="00683FD2"/>
    <w:rsid w:val="00B62F9B"/>
    <w:rsid w:val="00C46408"/>
    <w:rsid w:val="00E71E8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FC234"/>
  <w15:chartTrackingRefBased/>
  <w15:docId w15:val="{F98723B0-0737-47E0-B541-D3E88B605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71E82"/>
    <w:pPr>
      <w:spacing w:after="200" w:line="276" w:lineRule="auto"/>
    </w:pPr>
    <w:rPr>
      <w:rFonts w:ascii="Calibri" w:eastAsia="Calibri" w:hAnsi="Calibri" w:cs="DokChampa"/>
      <w:kern w:val="0"/>
      <w:sz w:val="22"/>
      <w:szCs w:val="22"/>
      <w14:ligatures w14:val="none"/>
    </w:rPr>
  </w:style>
  <w:style w:type="paragraph" w:styleId="Virsraksts1">
    <w:name w:val="heading 1"/>
    <w:basedOn w:val="Parasts"/>
    <w:next w:val="Parasts"/>
    <w:link w:val="Virsraksts1Rakstz"/>
    <w:uiPriority w:val="9"/>
    <w:qFormat/>
    <w:rsid w:val="00E71E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E71E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E71E82"/>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E71E82"/>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E71E82"/>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E71E82"/>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E71E82"/>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E71E82"/>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E71E82"/>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E71E82"/>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E71E82"/>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E71E82"/>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E71E82"/>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E71E82"/>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E71E82"/>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E71E82"/>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E71E82"/>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E71E82"/>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E71E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E71E82"/>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E71E82"/>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E71E82"/>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E71E82"/>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E71E82"/>
    <w:rPr>
      <w:i/>
      <w:iCs/>
      <w:color w:val="404040" w:themeColor="text1" w:themeTint="BF"/>
    </w:rPr>
  </w:style>
  <w:style w:type="paragraph" w:styleId="Sarakstarindkopa">
    <w:name w:val="List Paragraph"/>
    <w:basedOn w:val="Parasts"/>
    <w:uiPriority w:val="34"/>
    <w:qFormat/>
    <w:rsid w:val="00E71E82"/>
    <w:pPr>
      <w:ind w:left="720"/>
      <w:contextualSpacing/>
    </w:pPr>
  </w:style>
  <w:style w:type="character" w:styleId="Intensvsizclums">
    <w:name w:val="Intense Emphasis"/>
    <w:basedOn w:val="Noklusjumarindkopasfonts"/>
    <w:uiPriority w:val="21"/>
    <w:qFormat/>
    <w:rsid w:val="00E71E82"/>
    <w:rPr>
      <w:i/>
      <w:iCs/>
      <w:color w:val="0F4761" w:themeColor="accent1" w:themeShade="BF"/>
    </w:rPr>
  </w:style>
  <w:style w:type="paragraph" w:styleId="Intensvscitts">
    <w:name w:val="Intense Quote"/>
    <w:basedOn w:val="Parasts"/>
    <w:next w:val="Parasts"/>
    <w:link w:val="IntensvscittsRakstz"/>
    <w:uiPriority w:val="30"/>
    <w:qFormat/>
    <w:rsid w:val="00E71E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E71E82"/>
    <w:rPr>
      <w:i/>
      <w:iCs/>
      <w:color w:val="0F4761" w:themeColor="accent1" w:themeShade="BF"/>
    </w:rPr>
  </w:style>
  <w:style w:type="character" w:styleId="Intensvaatsauce">
    <w:name w:val="Intense Reference"/>
    <w:basedOn w:val="Noklusjumarindkopasfonts"/>
    <w:uiPriority w:val="32"/>
    <w:qFormat/>
    <w:rsid w:val="00E71E82"/>
    <w:rPr>
      <w:b/>
      <w:bCs/>
      <w:smallCaps/>
      <w:color w:val="0F4761" w:themeColor="accent1" w:themeShade="BF"/>
      <w:spacing w:val="5"/>
    </w:rPr>
  </w:style>
  <w:style w:type="character" w:styleId="Hipersaite">
    <w:name w:val="Hyperlink"/>
    <w:uiPriority w:val="99"/>
    <w:unhideWhenUsed/>
    <w:rsid w:val="00E71E82"/>
    <w:rPr>
      <w:color w:val="0000FF"/>
      <w:u w:val="single"/>
    </w:rPr>
  </w:style>
  <w:style w:type="paragraph" w:customStyle="1" w:styleId="Nodala1">
    <w:name w:val="Nodala 1"/>
    <w:basedOn w:val="Parasts"/>
    <w:qFormat/>
    <w:rsid w:val="00E71E82"/>
    <w:pPr>
      <w:numPr>
        <w:numId w:val="1"/>
      </w:numPr>
      <w:shd w:val="clear" w:color="auto" w:fill="D9D9D9" w:themeFill="background1" w:themeFillShade="D9"/>
      <w:suppressAutoHyphens/>
      <w:spacing w:before="120" w:after="120" w:line="240" w:lineRule="auto"/>
      <w:jc w:val="center"/>
    </w:pPr>
    <w:rPr>
      <w:rFonts w:ascii="Times New Roman" w:hAnsi="Times New Roman" w:cs="Times New Roman"/>
      <w:b/>
      <w:sz w:val="24"/>
      <w:szCs w:val="24"/>
      <w:lang w:eastAsia="ar-SA"/>
    </w:rPr>
  </w:style>
  <w:style w:type="paragraph" w:customStyle="1" w:styleId="Nodala11">
    <w:name w:val="Nodala 1.1"/>
    <w:basedOn w:val="Parasts"/>
    <w:qFormat/>
    <w:rsid w:val="00E71E82"/>
    <w:pPr>
      <w:numPr>
        <w:ilvl w:val="1"/>
        <w:numId w:val="1"/>
      </w:numPr>
      <w:suppressAutoHyphens/>
      <w:spacing w:before="60" w:after="60" w:line="240" w:lineRule="auto"/>
      <w:ind w:left="720" w:hanging="720"/>
      <w:jc w:val="both"/>
    </w:pPr>
    <w:rPr>
      <w:rFonts w:ascii="Times New Roman" w:eastAsia="Times New Roman" w:hAnsi="Times New Roman" w:cs="Times New Roman"/>
      <w:bCs/>
      <w:sz w:val="24"/>
      <w:szCs w:val="24"/>
      <w:lang w:eastAsia="ar-SA"/>
    </w:rPr>
  </w:style>
  <w:style w:type="paragraph" w:customStyle="1" w:styleId="Nodala111">
    <w:name w:val="Nodala 1.1.1"/>
    <w:basedOn w:val="Sarakstarindkopa"/>
    <w:link w:val="Nodala111Char"/>
    <w:qFormat/>
    <w:rsid w:val="00E71E82"/>
    <w:pPr>
      <w:numPr>
        <w:ilvl w:val="2"/>
        <w:numId w:val="1"/>
      </w:numPr>
      <w:spacing w:after="0" w:line="240" w:lineRule="auto"/>
      <w:contextualSpacing w:val="0"/>
      <w:jc w:val="both"/>
    </w:pPr>
    <w:rPr>
      <w:rFonts w:ascii="Times New Roman" w:hAnsi="Times New Roman" w:cs="Times New Roman"/>
      <w:lang w:eastAsia="ar-SA"/>
    </w:rPr>
  </w:style>
  <w:style w:type="character" w:customStyle="1" w:styleId="Nodala111Char">
    <w:name w:val="Nodala 1.1.1 Char"/>
    <w:basedOn w:val="Noklusjumarindkopasfonts"/>
    <w:link w:val="Nodala111"/>
    <w:rsid w:val="00E71E82"/>
    <w:rPr>
      <w:rFonts w:ascii="Times New Roman" w:hAnsi="Times New Roman" w:cs="Times New Roman"/>
      <w:kern w:val="0"/>
      <w:lang w:eastAsia="ar-SA"/>
      <w14:ligatures w14:val="none"/>
    </w:rPr>
  </w:style>
  <w:style w:type="paragraph" w:customStyle="1" w:styleId="Nodala1111">
    <w:name w:val="Nodala 1.1.1.1"/>
    <w:basedOn w:val="Nodala111"/>
    <w:qFormat/>
    <w:rsid w:val="00E71E82"/>
    <w:pPr>
      <w:numPr>
        <w:ilvl w:val="3"/>
      </w:numPr>
      <w:tabs>
        <w:tab w:val="num" w:pos="360"/>
      </w:tabs>
      <w:spacing w:before="60" w:after="60"/>
      <w:ind w:left="2268" w:hanging="861"/>
    </w:pPr>
  </w:style>
  <w:style w:type="paragraph" w:styleId="Pamatteksts">
    <w:name w:val="Body Text"/>
    <w:basedOn w:val="Parasts"/>
    <w:link w:val="PamattekstsRakstz"/>
    <w:uiPriority w:val="99"/>
    <w:semiHidden/>
    <w:rsid w:val="00E71E82"/>
    <w:pPr>
      <w:spacing w:after="120"/>
    </w:pPr>
  </w:style>
  <w:style w:type="character" w:customStyle="1" w:styleId="PamattekstsRakstz">
    <w:name w:val="Pamatteksts Rakstz."/>
    <w:basedOn w:val="Noklusjumarindkopasfonts"/>
    <w:link w:val="Pamatteksts"/>
    <w:uiPriority w:val="99"/>
    <w:semiHidden/>
    <w:rsid w:val="00E71E82"/>
    <w:rPr>
      <w:rFonts w:ascii="Calibri" w:eastAsia="Calibri" w:hAnsi="Calibri" w:cs="DokChampa"/>
      <w:kern w:val="0"/>
      <w:sz w:val="22"/>
      <w:szCs w:val="22"/>
      <w14:ligatures w14:val="none"/>
    </w:rPr>
  </w:style>
  <w:style w:type="paragraph" w:styleId="Galvene">
    <w:name w:val="header"/>
    <w:basedOn w:val="Parasts"/>
    <w:link w:val="GalveneRakstz"/>
    <w:uiPriority w:val="99"/>
    <w:unhideWhenUsed/>
    <w:rsid w:val="00E71E8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E71E82"/>
    <w:rPr>
      <w:rFonts w:ascii="Calibri" w:eastAsia="Calibri" w:hAnsi="Calibri" w:cs="DokChampa"/>
      <w:kern w:val="0"/>
      <w:sz w:val="22"/>
      <w:szCs w:val="22"/>
      <w14:ligatures w14:val="none"/>
    </w:rPr>
  </w:style>
  <w:style w:type="paragraph" w:styleId="Kjene">
    <w:name w:val="footer"/>
    <w:basedOn w:val="Parasts"/>
    <w:link w:val="KjeneRakstz"/>
    <w:uiPriority w:val="99"/>
    <w:unhideWhenUsed/>
    <w:rsid w:val="00E71E82"/>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E71E82"/>
    <w:rPr>
      <w:rFonts w:ascii="Calibri" w:eastAsia="Calibri" w:hAnsi="Calibri" w:cs="DokChampa"/>
      <w:kern w:val="0"/>
      <w:sz w:val="22"/>
      <w:szCs w:val="22"/>
      <w14:ligatures w14:val="none"/>
    </w:rPr>
  </w:style>
  <w:style w:type="character" w:customStyle="1" w:styleId="BezatstarpmRakstz">
    <w:name w:val="Bez atstarpēm Rakstz."/>
    <w:basedOn w:val="Noklusjumarindkopasfonts"/>
    <w:link w:val="Bezatstarpm"/>
    <w:qFormat/>
    <w:locked/>
    <w:rsid w:val="003A67AB"/>
    <w:rPr>
      <w:rFonts w:ascii="Calibri" w:hAnsi="Calibri" w:cs="Times New Roman"/>
    </w:rPr>
  </w:style>
  <w:style w:type="paragraph" w:styleId="Bezatstarpm">
    <w:name w:val="No Spacing"/>
    <w:link w:val="BezatstarpmRakstz"/>
    <w:qFormat/>
    <w:rsid w:val="003A67AB"/>
    <w:pPr>
      <w:spacing w:after="0" w:line="240" w:lineRule="auto"/>
    </w:pPr>
    <w:rPr>
      <w:rFonts w:ascii="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6.vid.gov.lv/SDV"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www.ur.gov.lv/?a=936&amp;z=631&amp;v=lv"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97617D09EEEC0C4F985030DBC246513A" ma:contentTypeVersion="13" ma:contentTypeDescription="Izveidot jaunu dokumentu." ma:contentTypeScope="" ma:versionID="1469853c8981a6bb36800a1d21aa5cde">
  <xsd:schema xmlns:xsd="http://www.w3.org/2001/XMLSchema" xmlns:xs="http://www.w3.org/2001/XMLSchema" xmlns:p="http://schemas.microsoft.com/office/2006/metadata/properties" xmlns:ns2="e8ad0521-214d-4572-950c-d91304f546a1" xmlns:ns3="be5a5b19-e92d-4d85-8f9c-21a488b9bfc0" targetNamespace="http://schemas.microsoft.com/office/2006/metadata/properties" ma:root="true" ma:fieldsID="a45ec81d90c3d2464cbd5fc43b805a93" ns2:_="" ns3:_="">
    <xsd:import namespace="e8ad0521-214d-4572-950c-d91304f546a1"/>
    <xsd:import namespace="be5a5b19-e92d-4d85-8f9c-21a488b9bfc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ad0521-214d-4572-950c-d91304f546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Attēlu atzīmes" ma:readOnly="false" ma:fieldId="{5cf76f15-5ced-4ddc-b409-7134ff3c332f}" ma:taxonomyMulti="true" ma:sspId="685b9eeb-a64c-42e3-b0c7-975c27d7b3ee"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5a5b19-e92d-4d85-8f9c-21a488b9bfc0"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15" nillable="true" ma:displayName="Taxonomy Catch All Column" ma:hidden="true" ma:list="{3f8dddd7-a389-42b5-bb39-207071c14bc7}" ma:internalName="TaxCatchAll" ma:showField="CatchAllData" ma:web="be5a5b19-e92d-4d85-8f9c-21a488b9bfc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8ad0521-214d-4572-950c-d91304f546a1">
      <Terms xmlns="http://schemas.microsoft.com/office/infopath/2007/PartnerControls"/>
    </lcf76f155ced4ddcb4097134ff3c332f>
    <TaxCatchAll xmlns="be5a5b19-e92d-4d85-8f9c-21a488b9bfc0" xsi:nil="true"/>
  </documentManagement>
</p:properties>
</file>

<file path=customXml/itemProps1.xml><?xml version="1.0" encoding="utf-8"?>
<ds:datastoreItem xmlns:ds="http://schemas.openxmlformats.org/officeDocument/2006/customXml" ds:itemID="{338B0B3A-1210-488B-A8F2-0D1AC252CB6F}"/>
</file>

<file path=customXml/itemProps2.xml><?xml version="1.0" encoding="utf-8"?>
<ds:datastoreItem xmlns:ds="http://schemas.openxmlformats.org/officeDocument/2006/customXml" ds:itemID="{264FFD1F-1EB9-4234-BA50-8EF91812E962}"/>
</file>

<file path=customXml/itemProps3.xml><?xml version="1.0" encoding="utf-8"?>
<ds:datastoreItem xmlns:ds="http://schemas.openxmlformats.org/officeDocument/2006/customXml" ds:itemID="{2756A480-F5F8-4917-95A9-B497F397E241}"/>
</file>

<file path=docProps/app.xml><?xml version="1.0" encoding="utf-8"?>
<Properties xmlns="http://schemas.openxmlformats.org/officeDocument/2006/extended-properties" xmlns:vt="http://schemas.openxmlformats.org/officeDocument/2006/docPropsVTypes">
  <Template>Normal</Template>
  <TotalTime>66</TotalTime>
  <Pages>2</Pages>
  <Words>670</Words>
  <Characters>4867</Characters>
  <Application>Microsoft Office Word</Application>
  <DocSecurity>0</DocSecurity>
  <Lines>101</Lines>
  <Paragraphs>36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Sakenfele</dc:creator>
  <cp:keywords/>
  <dc:description/>
  <cp:lastModifiedBy>Iveta Sakenfele</cp:lastModifiedBy>
  <cp:revision>1</cp:revision>
  <dcterms:created xsi:type="dcterms:W3CDTF">2026-07-17T10:29:00Z</dcterms:created>
  <dcterms:modified xsi:type="dcterms:W3CDTF">2026-07-17T11:43:00Z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0x01010097617D09EEEC0C4F985030DBC246513A</vt:lpwstr>
  </property>
</Properties>
</file>