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438F4" w14:textId="57B499BB" w:rsidR="00AB470C" w:rsidRPr="00B36AD9" w:rsidRDefault="00046C2A" w:rsidP="00046C2A">
      <w:pPr>
        <w:jc w:val="center"/>
        <w:rPr>
          <w:rFonts w:ascii="Times New Roman" w:eastAsia="Times New Roman" w:hAnsi="Times New Roman" w:cs="Times New Roman"/>
          <w:sz w:val="24"/>
          <w:szCs w:val="24"/>
          <w:lang w:eastAsia="lv-LV"/>
        </w:rPr>
      </w:pPr>
      <w:r w:rsidRPr="00B36AD9">
        <w:rPr>
          <w:rFonts w:ascii="Times New Roman" w:hAnsi="Times New Roman" w:cs="Times New Roman"/>
          <w:sz w:val="24"/>
          <w:szCs w:val="24"/>
        </w:rPr>
        <w:t>Iepirkuma</w:t>
      </w:r>
      <w:r w:rsidR="00AB470C" w:rsidRPr="00B36AD9">
        <w:rPr>
          <w:rFonts w:ascii="Times New Roman" w:hAnsi="Times New Roman" w:cs="Times New Roman"/>
          <w:sz w:val="24"/>
          <w:szCs w:val="24"/>
        </w:rPr>
        <w:t xml:space="preserve"> </w:t>
      </w:r>
      <w:r w:rsidRPr="00B36AD9">
        <w:rPr>
          <w:rFonts w:ascii="Times New Roman" w:hAnsi="Times New Roman" w:cs="Times New Roman"/>
          <w:b/>
          <w:bCs/>
          <w:sz w:val="24"/>
          <w:szCs w:val="24"/>
        </w:rPr>
        <w:t>“</w:t>
      </w:r>
      <w:r w:rsidR="002C388B" w:rsidRPr="00B36AD9">
        <w:rPr>
          <w:rFonts w:ascii="Times New Roman" w:hAnsi="Times New Roman" w:cs="Times New Roman"/>
          <w:b/>
          <w:bCs/>
          <w:sz w:val="24"/>
          <w:szCs w:val="24"/>
        </w:rPr>
        <w:t>Sociālās kampaņas “neJAUCIES svešās darīšanās” izstrāde</w:t>
      </w:r>
      <w:r w:rsidRPr="00B36AD9">
        <w:rPr>
          <w:rFonts w:ascii="Times New Roman" w:hAnsi="Times New Roman" w:cs="Times New Roman"/>
          <w:b/>
          <w:bCs/>
          <w:sz w:val="24"/>
          <w:szCs w:val="24"/>
        </w:rPr>
        <w:t>” (i.d. Nr. VIAA 202</w:t>
      </w:r>
      <w:r w:rsidR="002C388B" w:rsidRPr="00B36AD9">
        <w:rPr>
          <w:rFonts w:ascii="Times New Roman" w:hAnsi="Times New Roman" w:cs="Times New Roman"/>
          <w:b/>
          <w:bCs/>
          <w:sz w:val="24"/>
          <w:szCs w:val="24"/>
        </w:rPr>
        <w:t>6</w:t>
      </w:r>
      <w:r w:rsidRPr="00B36AD9">
        <w:rPr>
          <w:rFonts w:ascii="Times New Roman" w:hAnsi="Times New Roman" w:cs="Times New Roman"/>
          <w:b/>
          <w:bCs/>
          <w:sz w:val="24"/>
          <w:szCs w:val="24"/>
        </w:rPr>
        <w:t>/</w:t>
      </w:r>
      <w:r w:rsidR="002C388B" w:rsidRPr="00B36AD9">
        <w:rPr>
          <w:rFonts w:ascii="Times New Roman" w:hAnsi="Times New Roman" w:cs="Times New Roman"/>
          <w:b/>
          <w:bCs/>
          <w:sz w:val="24"/>
          <w:szCs w:val="24"/>
        </w:rPr>
        <w:t>54</w:t>
      </w:r>
      <w:r w:rsidRPr="00B36AD9">
        <w:rPr>
          <w:rFonts w:ascii="Times New Roman" w:hAnsi="Times New Roman" w:cs="Times New Roman"/>
          <w:b/>
          <w:bCs/>
          <w:sz w:val="24"/>
          <w:szCs w:val="24"/>
        </w:rPr>
        <w:t xml:space="preserve">) </w:t>
      </w:r>
      <w:r w:rsidR="00AB470C" w:rsidRPr="00B36AD9">
        <w:rPr>
          <w:rFonts w:ascii="Times New Roman" w:hAnsi="Times New Roman" w:cs="Times New Roman"/>
          <w:sz w:val="24"/>
          <w:szCs w:val="24"/>
        </w:rPr>
        <w:t>Iepirkuma komisijas atbilde uz jautājumu</w:t>
      </w:r>
    </w:p>
    <w:p w14:paraId="51FCFEE5" w14:textId="71CB7A3E" w:rsidR="00AB470C" w:rsidRPr="00B36AD9" w:rsidRDefault="00AB470C" w:rsidP="00AB470C">
      <w:pPr>
        <w:jc w:val="both"/>
        <w:rPr>
          <w:rFonts w:ascii="Times New Roman" w:hAnsi="Times New Roman" w:cs="Times New Roman"/>
          <w:sz w:val="24"/>
          <w:szCs w:val="24"/>
        </w:rPr>
      </w:pPr>
    </w:p>
    <w:p w14:paraId="261DA1AC" w14:textId="6DBFFDE0" w:rsidR="00AB470C" w:rsidRPr="00B36AD9" w:rsidRDefault="00AB470C" w:rsidP="00AB470C">
      <w:pPr>
        <w:jc w:val="both"/>
        <w:rPr>
          <w:rFonts w:ascii="Times New Roman" w:hAnsi="Times New Roman" w:cs="Times New Roman"/>
          <w:b/>
          <w:bCs/>
          <w:sz w:val="24"/>
          <w:szCs w:val="24"/>
          <w:u w:val="single"/>
        </w:rPr>
      </w:pPr>
      <w:r w:rsidRPr="00B36AD9">
        <w:rPr>
          <w:rFonts w:ascii="Times New Roman" w:hAnsi="Times New Roman" w:cs="Times New Roman"/>
          <w:b/>
          <w:bCs/>
          <w:sz w:val="24"/>
          <w:szCs w:val="24"/>
          <w:u w:val="single"/>
        </w:rPr>
        <w:t>Jautājums:</w:t>
      </w:r>
    </w:p>
    <w:p w14:paraId="0F95AC85" w14:textId="77777777" w:rsidR="00B36AD9" w:rsidRPr="00B36AD9" w:rsidRDefault="00B36AD9" w:rsidP="00B36AD9">
      <w:pPr>
        <w:spacing w:after="0" w:line="240" w:lineRule="auto"/>
        <w:jc w:val="both"/>
        <w:rPr>
          <w:rFonts w:ascii="Times New Roman" w:eastAsia="Arial MT" w:hAnsi="Times New Roman" w:cs="Times New Roman"/>
          <w:sz w:val="24"/>
          <w:szCs w:val="24"/>
        </w:rPr>
      </w:pPr>
      <w:r w:rsidRPr="00B36AD9">
        <w:rPr>
          <w:rFonts w:ascii="Times New Roman" w:eastAsia="Arial MT" w:hAnsi="Times New Roman" w:cs="Times New Roman"/>
          <w:sz w:val="24"/>
          <w:szCs w:val="24"/>
        </w:rPr>
        <w:t>1.Vai varat lūdzu precizēt vērtēšanas kārtību?</w:t>
      </w:r>
    </w:p>
    <w:p w14:paraId="7C0835C4" w14:textId="77777777" w:rsidR="00B36AD9" w:rsidRPr="00B36AD9" w:rsidRDefault="00B36AD9" w:rsidP="00B36AD9">
      <w:pPr>
        <w:spacing w:after="0" w:line="240" w:lineRule="auto"/>
        <w:jc w:val="both"/>
        <w:rPr>
          <w:rFonts w:ascii="Times New Roman" w:eastAsia="Arial MT" w:hAnsi="Times New Roman" w:cs="Times New Roman"/>
          <w:sz w:val="24"/>
          <w:szCs w:val="24"/>
        </w:rPr>
      </w:pPr>
      <w:r w:rsidRPr="00B36AD9">
        <w:rPr>
          <w:rFonts w:ascii="Times New Roman" w:eastAsia="Arial MT" w:hAnsi="Times New Roman" w:cs="Times New Roman"/>
          <w:sz w:val="24"/>
          <w:szCs w:val="24"/>
        </w:rPr>
        <w:t>Saskaņā ar Nolikumu minēts, ka vērtējumu sastāda Cena (60 no 100 punktiem), Pieredze (20 no 100 punktiem), iepriekšējie darbi (20 no 100 punktiem)</w:t>
      </w:r>
    </w:p>
    <w:p w14:paraId="62039D08" w14:textId="77777777" w:rsidR="00B36AD9" w:rsidRPr="00B36AD9" w:rsidRDefault="00B36AD9" w:rsidP="00B36AD9">
      <w:pPr>
        <w:spacing w:after="0" w:line="240" w:lineRule="auto"/>
        <w:jc w:val="both"/>
        <w:rPr>
          <w:rFonts w:ascii="Times New Roman" w:eastAsia="Arial MT" w:hAnsi="Times New Roman" w:cs="Times New Roman"/>
          <w:sz w:val="24"/>
          <w:szCs w:val="24"/>
        </w:rPr>
      </w:pPr>
      <w:r w:rsidRPr="00B36AD9">
        <w:rPr>
          <w:rFonts w:ascii="Times New Roman" w:eastAsia="Arial MT" w:hAnsi="Times New Roman" w:cs="Times New Roman"/>
          <w:sz w:val="24"/>
          <w:szCs w:val="24"/>
        </w:rPr>
        <w:t>Taču pie Atbildēm uz jautājumiem minēts, ka 70 punkti no 100 punkti tiek piešķirti par Tehnisko piedāvājumu.</w:t>
      </w:r>
    </w:p>
    <w:p w14:paraId="3FAC2D6C" w14:textId="77777777" w:rsidR="00B36AD9" w:rsidRPr="00B36AD9" w:rsidRDefault="00B36AD9" w:rsidP="00B36AD9">
      <w:pPr>
        <w:spacing w:after="0" w:line="240" w:lineRule="auto"/>
        <w:jc w:val="both"/>
        <w:rPr>
          <w:rFonts w:ascii="Times New Roman" w:eastAsia="Arial MT" w:hAnsi="Times New Roman" w:cs="Times New Roman"/>
          <w:sz w:val="24"/>
          <w:szCs w:val="24"/>
        </w:rPr>
      </w:pPr>
      <w:r w:rsidRPr="00B36AD9">
        <w:rPr>
          <w:rFonts w:ascii="Times New Roman" w:eastAsia="Arial MT" w:hAnsi="Times New Roman" w:cs="Times New Roman"/>
          <w:sz w:val="24"/>
          <w:szCs w:val="24"/>
        </w:rPr>
        <w:t>Lūgums precizēt vērtējuma sistēmu un vai Atbildes uz jautājumiem ir uzskatāmas par neatņemamu Nolikuma sastāvdaļu?</w:t>
      </w:r>
    </w:p>
    <w:p w14:paraId="4B576931" w14:textId="77777777" w:rsidR="00B36AD9" w:rsidRPr="00B36AD9" w:rsidRDefault="00B36AD9" w:rsidP="00B36AD9">
      <w:pPr>
        <w:spacing w:after="0" w:line="240" w:lineRule="auto"/>
        <w:jc w:val="both"/>
        <w:rPr>
          <w:rFonts w:ascii="Times New Roman" w:eastAsia="Arial MT" w:hAnsi="Times New Roman" w:cs="Times New Roman"/>
          <w:sz w:val="24"/>
          <w:szCs w:val="24"/>
        </w:rPr>
      </w:pPr>
      <w:r w:rsidRPr="00B36AD9">
        <w:rPr>
          <w:rFonts w:ascii="Times New Roman" w:eastAsia="Arial MT" w:hAnsi="Times New Roman" w:cs="Times New Roman"/>
          <w:sz w:val="24"/>
          <w:szCs w:val="24"/>
        </w:rPr>
        <w:t>Vai, apvienojot Nolikumu ar Atbildēm uz jautājumiem, pareizi saprotam, ka vērtēšana notiek sekojoši:</w:t>
      </w:r>
    </w:p>
    <w:p w14:paraId="736B5849" w14:textId="77777777" w:rsidR="00B36AD9" w:rsidRPr="00B36AD9" w:rsidRDefault="00B36AD9" w:rsidP="00B36AD9">
      <w:pPr>
        <w:spacing w:after="0" w:line="240" w:lineRule="auto"/>
        <w:jc w:val="both"/>
        <w:rPr>
          <w:rFonts w:ascii="Times New Roman" w:eastAsia="Arial MT" w:hAnsi="Times New Roman" w:cs="Times New Roman"/>
          <w:sz w:val="24"/>
          <w:szCs w:val="24"/>
        </w:rPr>
      </w:pPr>
      <w:r w:rsidRPr="00B36AD9">
        <w:rPr>
          <w:rFonts w:ascii="Times New Roman" w:eastAsia="Arial MT" w:hAnsi="Times New Roman" w:cs="Times New Roman"/>
          <w:sz w:val="24"/>
          <w:szCs w:val="24"/>
        </w:rPr>
        <w:t>100 punkti, no kuriem 70 punkti par Tehnisko piedāvājumu.</w:t>
      </w:r>
    </w:p>
    <w:p w14:paraId="7826E067" w14:textId="77777777" w:rsidR="00B36AD9" w:rsidRPr="00B36AD9" w:rsidRDefault="00B36AD9" w:rsidP="00B36AD9">
      <w:pPr>
        <w:spacing w:after="0" w:line="240" w:lineRule="auto"/>
        <w:jc w:val="both"/>
        <w:rPr>
          <w:rFonts w:ascii="Times New Roman" w:eastAsia="Arial MT" w:hAnsi="Times New Roman" w:cs="Times New Roman"/>
          <w:sz w:val="24"/>
          <w:szCs w:val="24"/>
        </w:rPr>
      </w:pPr>
      <w:r w:rsidRPr="00B36AD9">
        <w:rPr>
          <w:rFonts w:ascii="Times New Roman" w:eastAsia="Arial MT" w:hAnsi="Times New Roman" w:cs="Times New Roman"/>
          <w:sz w:val="24"/>
          <w:szCs w:val="24"/>
        </w:rPr>
        <w:t>Un 30 punkti no atlikušajiem 100, kuri sīkāk dalās par Cenu (60 % no 30 punktiem), Pieredzi (20% no 30 punktiem), iepriekšējiem darbiem (20% no 30 punktiem)</w:t>
      </w:r>
    </w:p>
    <w:p w14:paraId="2C56AEF8" w14:textId="77777777" w:rsidR="00B36AD9" w:rsidRPr="00B36AD9" w:rsidRDefault="00B36AD9" w:rsidP="00B36AD9">
      <w:pPr>
        <w:spacing w:after="0" w:line="240" w:lineRule="auto"/>
        <w:jc w:val="both"/>
        <w:rPr>
          <w:rFonts w:ascii="Times New Roman" w:eastAsia="Times New Roman" w:hAnsi="Times New Roman" w:cs="Times New Roman"/>
          <w:b/>
          <w:bCs/>
          <w:sz w:val="24"/>
          <w:szCs w:val="24"/>
          <w:u w:val="single"/>
          <w:lang w:eastAsia="lv-LV"/>
        </w:rPr>
      </w:pPr>
      <w:r w:rsidRPr="00B36AD9">
        <w:rPr>
          <w:rFonts w:ascii="Times New Roman" w:eastAsia="Times New Roman" w:hAnsi="Times New Roman" w:cs="Times New Roman"/>
          <w:b/>
          <w:bCs/>
          <w:sz w:val="24"/>
          <w:szCs w:val="24"/>
          <w:u w:val="single"/>
          <w:lang w:eastAsia="lv-LV"/>
        </w:rPr>
        <w:t>Atbilde:</w:t>
      </w:r>
    </w:p>
    <w:p w14:paraId="318B4708" w14:textId="68A87BDB" w:rsidR="00B36AD9" w:rsidRDefault="00B36AD9" w:rsidP="00B36AD9">
      <w:pPr>
        <w:jc w:val="both"/>
        <w:rPr>
          <w:rFonts w:ascii="Times New Roman" w:eastAsia="Arial MT" w:hAnsi="Times New Roman" w:cs="Times New Roman"/>
          <w:sz w:val="24"/>
          <w:szCs w:val="24"/>
        </w:rPr>
      </w:pPr>
      <w:r>
        <w:rPr>
          <w:rFonts w:ascii="Times New Roman" w:eastAsia="Arial MT" w:hAnsi="Times New Roman" w:cs="Times New Roman"/>
          <w:sz w:val="24"/>
          <w:szCs w:val="24"/>
        </w:rPr>
        <w:t>Vērtēšana ir paredzēta Nolikuma 5.2.4.4. apakšpunkta noteiktajā kārtībā. Sniegtajā atbildē ir tehniska kļūda. Korektā atbildes versija:</w:t>
      </w:r>
    </w:p>
    <w:p w14:paraId="0E7CEF6C" w14:textId="77777777" w:rsidR="00B36AD9" w:rsidRPr="00B36AD9" w:rsidRDefault="00B36AD9" w:rsidP="00B36AD9">
      <w:pPr>
        <w:jc w:val="both"/>
        <w:rPr>
          <w:rFonts w:ascii="Times New Roman" w:eastAsia="Arial MT" w:hAnsi="Times New Roman" w:cs="Times New Roman"/>
          <w:i/>
          <w:iCs/>
          <w:sz w:val="24"/>
          <w:szCs w:val="24"/>
        </w:rPr>
      </w:pPr>
      <w:r w:rsidRPr="00B36AD9">
        <w:rPr>
          <w:rFonts w:ascii="Times New Roman" w:eastAsia="Arial MT" w:hAnsi="Times New Roman" w:cs="Times New Roman"/>
          <w:i/>
          <w:iCs/>
          <w:sz w:val="24"/>
          <w:szCs w:val="24"/>
        </w:rPr>
        <w:t>Piedāvājumu vērtēšana notiek atbilstoši nolikumā noteiktajiem kritērijiem. Tiek vērtēta ne tikai piedāvājuma cena un pretendenta kvalifikācija (pieredze), bet arī tehniskā piedāvājuma kvalitāte.</w:t>
      </w:r>
    </w:p>
    <w:p w14:paraId="69F9B64F" w14:textId="77777777" w:rsidR="00B36AD9" w:rsidRPr="00B36AD9" w:rsidRDefault="00B36AD9" w:rsidP="00B36AD9">
      <w:pPr>
        <w:jc w:val="both"/>
        <w:rPr>
          <w:rFonts w:ascii="Times New Roman" w:eastAsia="Arial MT" w:hAnsi="Times New Roman" w:cs="Times New Roman"/>
          <w:i/>
          <w:iCs/>
          <w:strike/>
          <w:sz w:val="24"/>
          <w:szCs w:val="24"/>
        </w:rPr>
      </w:pPr>
      <w:r w:rsidRPr="00B36AD9">
        <w:rPr>
          <w:rFonts w:ascii="Times New Roman" w:eastAsia="Arial MT" w:hAnsi="Times New Roman" w:cs="Times New Roman"/>
          <w:i/>
          <w:iCs/>
          <w:sz w:val="24"/>
          <w:szCs w:val="24"/>
        </w:rPr>
        <w:t xml:space="preserve">Kvalifikācijas prasību ietvaros tiek vērtēta pretendenta un piedāvāto speciālistu iepriekšējā pieredze sociālo un informatīvo kampaņu īstenošanā. </w:t>
      </w:r>
      <w:r w:rsidRPr="00B36AD9">
        <w:rPr>
          <w:rFonts w:ascii="Times New Roman" w:eastAsia="Arial MT" w:hAnsi="Times New Roman" w:cs="Times New Roman"/>
          <w:i/>
          <w:iCs/>
          <w:strike/>
          <w:sz w:val="24"/>
          <w:szCs w:val="24"/>
        </w:rPr>
        <w:t>Savukārt tehniskā piedāvājuma vērtēšanā (70 punkti no 100) tiek vērtēts:</w:t>
      </w:r>
    </w:p>
    <w:p w14:paraId="2BD3D7C2" w14:textId="77777777" w:rsidR="00B36AD9" w:rsidRPr="00B36AD9" w:rsidRDefault="00B36AD9" w:rsidP="00B36AD9">
      <w:pPr>
        <w:numPr>
          <w:ilvl w:val="0"/>
          <w:numId w:val="1"/>
        </w:numPr>
        <w:jc w:val="both"/>
        <w:rPr>
          <w:rFonts w:ascii="Times New Roman" w:eastAsia="Arial MT" w:hAnsi="Times New Roman" w:cs="Times New Roman"/>
          <w:i/>
          <w:iCs/>
          <w:strike/>
          <w:sz w:val="24"/>
          <w:szCs w:val="24"/>
        </w:rPr>
      </w:pPr>
      <w:r w:rsidRPr="00B36AD9">
        <w:rPr>
          <w:rFonts w:ascii="Times New Roman" w:eastAsia="Arial MT" w:hAnsi="Times New Roman" w:cs="Times New Roman"/>
          <w:i/>
          <w:iCs/>
          <w:strike/>
          <w:sz w:val="24"/>
          <w:szCs w:val="24"/>
        </w:rPr>
        <w:t>veicamo darba uzdevumu apraksts;</w:t>
      </w:r>
    </w:p>
    <w:p w14:paraId="7908E5E5" w14:textId="77777777" w:rsidR="00B36AD9" w:rsidRPr="00B36AD9" w:rsidRDefault="00B36AD9" w:rsidP="00B36AD9">
      <w:pPr>
        <w:numPr>
          <w:ilvl w:val="0"/>
          <w:numId w:val="1"/>
        </w:numPr>
        <w:jc w:val="both"/>
        <w:rPr>
          <w:rFonts w:ascii="Times New Roman" w:eastAsia="Arial MT" w:hAnsi="Times New Roman" w:cs="Times New Roman"/>
          <w:i/>
          <w:iCs/>
          <w:strike/>
          <w:sz w:val="24"/>
          <w:szCs w:val="24"/>
        </w:rPr>
      </w:pPr>
      <w:r w:rsidRPr="00B36AD9">
        <w:rPr>
          <w:rFonts w:ascii="Times New Roman" w:eastAsia="Arial MT" w:hAnsi="Times New Roman" w:cs="Times New Roman"/>
          <w:i/>
          <w:iCs/>
          <w:strike/>
          <w:sz w:val="24"/>
          <w:szCs w:val="24"/>
        </w:rPr>
        <w:t>darba uzdevumu izpildes metodoloģijas apraksts un pamatojums;</w:t>
      </w:r>
    </w:p>
    <w:p w14:paraId="656879C6" w14:textId="77777777" w:rsidR="00B36AD9" w:rsidRPr="00B36AD9" w:rsidRDefault="00B36AD9" w:rsidP="00B36AD9">
      <w:pPr>
        <w:numPr>
          <w:ilvl w:val="0"/>
          <w:numId w:val="1"/>
        </w:numPr>
        <w:jc w:val="both"/>
        <w:rPr>
          <w:rFonts w:ascii="Times New Roman" w:eastAsia="Arial MT" w:hAnsi="Times New Roman" w:cs="Times New Roman"/>
          <w:i/>
          <w:iCs/>
          <w:strike/>
          <w:sz w:val="24"/>
          <w:szCs w:val="24"/>
        </w:rPr>
      </w:pPr>
      <w:r w:rsidRPr="00B36AD9">
        <w:rPr>
          <w:rFonts w:ascii="Times New Roman" w:eastAsia="Arial MT" w:hAnsi="Times New Roman" w:cs="Times New Roman"/>
          <w:i/>
          <w:iCs/>
          <w:strike/>
          <w:sz w:val="24"/>
          <w:szCs w:val="24"/>
        </w:rPr>
        <w:t>darba uzdevumu izpildes ziņojumu provizoriskie satura rādītāji;</w:t>
      </w:r>
    </w:p>
    <w:p w14:paraId="74149D3C" w14:textId="77777777" w:rsidR="00B36AD9" w:rsidRPr="00B36AD9" w:rsidRDefault="00B36AD9" w:rsidP="00B36AD9">
      <w:pPr>
        <w:numPr>
          <w:ilvl w:val="0"/>
          <w:numId w:val="1"/>
        </w:numPr>
        <w:jc w:val="both"/>
        <w:rPr>
          <w:rFonts w:ascii="Times New Roman" w:eastAsia="Arial MT" w:hAnsi="Times New Roman" w:cs="Times New Roman"/>
          <w:i/>
          <w:iCs/>
          <w:strike/>
          <w:sz w:val="24"/>
          <w:szCs w:val="24"/>
        </w:rPr>
      </w:pPr>
      <w:r w:rsidRPr="00B36AD9">
        <w:rPr>
          <w:rFonts w:ascii="Times New Roman" w:eastAsia="Arial MT" w:hAnsi="Times New Roman" w:cs="Times New Roman"/>
          <w:i/>
          <w:iCs/>
          <w:strike/>
          <w:sz w:val="24"/>
          <w:szCs w:val="24"/>
        </w:rPr>
        <w:t>darba organizācijas, kvalitātes nodrošināšanas pasākumu un laika grafika apraksts.</w:t>
      </w:r>
    </w:p>
    <w:p w14:paraId="1C2607ED" w14:textId="11F4A70F" w:rsidR="00B36AD9" w:rsidRPr="00B36AD9" w:rsidRDefault="00B36AD9" w:rsidP="00B36AD9">
      <w:pPr>
        <w:jc w:val="both"/>
        <w:rPr>
          <w:rFonts w:ascii="Times New Roman" w:eastAsia="Arial MT" w:hAnsi="Times New Roman" w:cs="Times New Roman"/>
          <w:i/>
          <w:iCs/>
          <w:sz w:val="24"/>
          <w:szCs w:val="24"/>
        </w:rPr>
      </w:pPr>
      <w:r w:rsidRPr="00B36AD9">
        <w:rPr>
          <w:rFonts w:ascii="Times New Roman" w:eastAsia="Arial MT" w:hAnsi="Times New Roman" w:cs="Times New Roman"/>
          <w:i/>
          <w:iCs/>
          <w:sz w:val="24"/>
          <w:szCs w:val="24"/>
        </w:rPr>
        <w:t>Atsevišķs vērtēšanas kritērijs "radošajam konceptam" nav noteikts. Vienlaikus pretendenta piedāvātais radošais risinājums un pieeja sociālās kampaņas īstenošanai ir neatņemama tehniskā piedāvājuma sastāvdaļa un tiks vērtēta tiktāl, ciktāl tā atspoguļo pretendenta izpratni par Pasūtītāja vajadzībām, kampaņas mērķiem, izvēlēto metodoloģiju un plānoto darba uzdevumu izpildi atbilstoši Tehniskās specifikācijas prasībām.</w:t>
      </w:r>
    </w:p>
    <w:p w14:paraId="7CB957F0" w14:textId="7C6F6553" w:rsidR="00B36AD9" w:rsidRPr="00B36AD9" w:rsidRDefault="00B36AD9" w:rsidP="00B36AD9">
      <w:pPr>
        <w:jc w:val="both"/>
        <w:rPr>
          <w:rFonts w:ascii="Times New Roman" w:hAnsi="Times New Roman" w:cs="Times New Roman"/>
          <w:b/>
          <w:bCs/>
          <w:sz w:val="24"/>
          <w:szCs w:val="24"/>
          <w:u w:val="single"/>
        </w:rPr>
      </w:pPr>
      <w:r w:rsidRPr="00B36AD9">
        <w:rPr>
          <w:rFonts w:ascii="Times New Roman" w:hAnsi="Times New Roman" w:cs="Times New Roman"/>
          <w:b/>
          <w:bCs/>
          <w:sz w:val="24"/>
          <w:szCs w:val="24"/>
          <w:u w:val="single"/>
        </w:rPr>
        <w:t>Jautājums:</w:t>
      </w:r>
    </w:p>
    <w:p w14:paraId="54B0F157" w14:textId="77777777" w:rsidR="00B36AD9" w:rsidRPr="00B36AD9" w:rsidRDefault="00B36AD9" w:rsidP="00B36AD9">
      <w:pPr>
        <w:spacing w:after="0" w:line="240" w:lineRule="auto"/>
        <w:jc w:val="both"/>
        <w:rPr>
          <w:rFonts w:ascii="Times New Roman" w:eastAsia="Arial MT" w:hAnsi="Times New Roman" w:cs="Times New Roman"/>
          <w:sz w:val="24"/>
          <w:szCs w:val="24"/>
        </w:rPr>
      </w:pPr>
      <w:r w:rsidRPr="00B36AD9">
        <w:rPr>
          <w:rFonts w:ascii="Times New Roman" w:eastAsia="Arial MT" w:hAnsi="Times New Roman" w:cs="Times New Roman"/>
          <w:sz w:val="24"/>
          <w:szCs w:val="24"/>
        </w:rPr>
        <w:t>2.Sakiet lūdzu, kas precīzi ir jāiesniedz Tehniskajā piedāvājuma 1.punktā? Vai jāiesniedz apraksts par savu kampaņas redzējumu (cik garš) un vizuālās skices (kuriem formātiem, cik daudz)?</w:t>
      </w:r>
    </w:p>
    <w:p w14:paraId="35488C15" w14:textId="77777777" w:rsidR="00B36AD9" w:rsidRPr="00B36AD9" w:rsidRDefault="00B36AD9" w:rsidP="00B36AD9">
      <w:pPr>
        <w:spacing w:after="0" w:line="240" w:lineRule="auto"/>
        <w:jc w:val="both"/>
        <w:rPr>
          <w:rFonts w:ascii="Times New Roman" w:eastAsia="Arial MT" w:hAnsi="Times New Roman" w:cs="Times New Roman"/>
          <w:sz w:val="24"/>
          <w:szCs w:val="24"/>
        </w:rPr>
      </w:pPr>
    </w:p>
    <w:p w14:paraId="1C8FB240" w14:textId="77777777" w:rsidR="00B36AD9" w:rsidRPr="00B36AD9" w:rsidRDefault="00B36AD9" w:rsidP="00B36AD9">
      <w:pPr>
        <w:spacing w:after="0" w:line="240" w:lineRule="auto"/>
        <w:jc w:val="both"/>
        <w:rPr>
          <w:rFonts w:ascii="Times New Roman" w:eastAsia="Times New Roman" w:hAnsi="Times New Roman" w:cs="Times New Roman"/>
          <w:b/>
          <w:bCs/>
          <w:sz w:val="24"/>
          <w:szCs w:val="24"/>
          <w:u w:val="single"/>
          <w:lang w:eastAsia="lv-LV"/>
        </w:rPr>
      </w:pPr>
      <w:r w:rsidRPr="00B36AD9">
        <w:rPr>
          <w:rFonts w:ascii="Times New Roman" w:eastAsia="Arial MT" w:hAnsi="Times New Roman" w:cs="Times New Roman"/>
          <w:sz w:val="24"/>
          <w:szCs w:val="24"/>
        </w:rPr>
        <w:lastRenderedPageBreak/>
        <w:t> </w:t>
      </w:r>
      <w:r w:rsidRPr="00B36AD9">
        <w:rPr>
          <w:rFonts w:ascii="Times New Roman" w:eastAsia="Times New Roman" w:hAnsi="Times New Roman" w:cs="Times New Roman"/>
          <w:b/>
          <w:bCs/>
          <w:sz w:val="24"/>
          <w:szCs w:val="24"/>
          <w:u w:val="single"/>
          <w:lang w:eastAsia="lv-LV"/>
        </w:rPr>
        <w:t>Atbilde:</w:t>
      </w:r>
    </w:p>
    <w:p w14:paraId="4FB60A28" w14:textId="3A15BC15" w:rsidR="00B36AD9" w:rsidRPr="00B36AD9" w:rsidRDefault="00E42AD7" w:rsidP="00B36AD9">
      <w:pPr>
        <w:jc w:val="both"/>
        <w:rPr>
          <w:rFonts w:ascii="Times New Roman" w:eastAsia="Arial MT" w:hAnsi="Times New Roman" w:cs="Times New Roman"/>
          <w:sz w:val="24"/>
          <w:szCs w:val="24"/>
        </w:rPr>
      </w:pPr>
      <w:r w:rsidRPr="00E42AD7">
        <w:rPr>
          <w:rFonts w:ascii="Times New Roman" w:eastAsia="Arial MT" w:hAnsi="Times New Roman" w:cs="Times New Roman"/>
          <w:sz w:val="24"/>
          <w:szCs w:val="24"/>
        </w:rPr>
        <w:t>Atsevišķs apraksts par 1. punktu nav jāiesniedz. Tas ir kampaņas apraksts. </w:t>
      </w:r>
    </w:p>
    <w:p w14:paraId="15B07042" w14:textId="77777777" w:rsidR="00B36AD9" w:rsidRPr="00B36AD9" w:rsidRDefault="00B36AD9" w:rsidP="00B36AD9">
      <w:pPr>
        <w:jc w:val="both"/>
        <w:rPr>
          <w:rFonts w:ascii="Times New Roman" w:hAnsi="Times New Roman" w:cs="Times New Roman"/>
          <w:b/>
          <w:bCs/>
          <w:sz w:val="24"/>
          <w:szCs w:val="24"/>
          <w:u w:val="single"/>
        </w:rPr>
      </w:pPr>
      <w:r w:rsidRPr="00B36AD9">
        <w:rPr>
          <w:rFonts w:ascii="Times New Roman" w:hAnsi="Times New Roman" w:cs="Times New Roman"/>
          <w:b/>
          <w:bCs/>
          <w:sz w:val="24"/>
          <w:szCs w:val="24"/>
          <w:u w:val="single"/>
        </w:rPr>
        <w:t>Jautājums:</w:t>
      </w:r>
    </w:p>
    <w:p w14:paraId="39E3C4AA" w14:textId="77777777" w:rsidR="00B36AD9" w:rsidRPr="00B36AD9" w:rsidRDefault="00B36AD9" w:rsidP="00B36AD9">
      <w:pPr>
        <w:spacing w:after="0" w:line="240" w:lineRule="auto"/>
        <w:jc w:val="both"/>
        <w:rPr>
          <w:rFonts w:ascii="Times New Roman" w:eastAsia="Arial MT" w:hAnsi="Times New Roman" w:cs="Times New Roman"/>
          <w:sz w:val="24"/>
          <w:szCs w:val="24"/>
        </w:rPr>
      </w:pPr>
      <w:r w:rsidRPr="00B36AD9">
        <w:rPr>
          <w:rFonts w:ascii="Times New Roman" w:eastAsia="Arial MT" w:hAnsi="Times New Roman" w:cs="Times New Roman"/>
          <w:sz w:val="24"/>
          <w:szCs w:val="24"/>
        </w:rPr>
        <w:t>3.Piedāvājuma cena jāiesniedz par Tehniskā piedāvājuma 1.punktu, Tabulu Nr.1, Tabulu Nr.3, Tabulu Nr.4 – vai pareizi saprotam?</w:t>
      </w:r>
    </w:p>
    <w:p w14:paraId="5A942073" w14:textId="77777777" w:rsidR="00B36AD9" w:rsidRPr="00B36AD9" w:rsidRDefault="00B36AD9" w:rsidP="00B36AD9">
      <w:pPr>
        <w:spacing w:after="0" w:line="240" w:lineRule="auto"/>
        <w:jc w:val="both"/>
        <w:rPr>
          <w:rFonts w:ascii="Times New Roman" w:eastAsia="Arial MT" w:hAnsi="Times New Roman" w:cs="Times New Roman"/>
          <w:sz w:val="24"/>
          <w:szCs w:val="24"/>
        </w:rPr>
      </w:pPr>
    </w:p>
    <w:p w14:paraId="555EA8E2" w14:textId="77777777" w:rsidR="00B36AD9" w:rsidRPr="00B36AD9" w:rsidRDefault="00B36AD9" w:rsidP="00B36AD9">
      <w:pPr>
        <w:spacing w:after="0" w:line="240" w:lineRule="auto"/>
        <w:jc w:val="both"/>
        <w:rPr>
          <w:rFonts w:ascii="Times New Roman" w:eastAsia="Times New Roman" w:hAnsi="Times New Roman" w:cs="Times New Roman"/>
          <w:b/>
          <w:bCs/>
          <w:sz w:val="24"/>
          <w:szCs w:val="24"/>
          <w:u w:val="single"/>
          <w:lang w:eastAsia="lv-LV"/>
        </w:rPr>
      </w:pPr>
      <w:r w:rsidRPr="00B36AD9">
        <w:rPr>
          <w:rFonts w:ascii="Times New Roman" w:eastAsia="Arial MT" w:hAnsi="Times New Roman" w:cs="Times New Roman"/>
          <w:sz w:val="24"/>
          <w:szCs w:val="24"/>
        </w:rPr>
        <w:t> </w:t>
      </w:r>
      <w:r w:rsidRPr="00B36AD9">
        <w:rPr>
          <w:rFonts w:ascii="Times New Roman" w:eastAsia="Times New Roman" w:hAnsi="Times New Roman" w:cs="Times New Roman"/>
          <w:b/>
          <w:bCs/>
          <w:sz w:val="24"/>
          <w:szCs w:val="24"/>
          <w:u w:val="single"/>
          <w:lang w:eastAsia="lv-LV"/>
        </w:rPr>
        <w:t>Atbilde:</w:t>
      </w:r>
    </w:p>
    <w:p w14:paraId="2B81B8F9" w14:textId="6EC3BC57" w:rsidR="00B36AD9" w:rsidRPr="00B36AD9" w:rsidRDefault="00E42AD7" w:rsidP="00B36AD9">
      <w:pPr>
        <w:jc w:val="both"/>
        <w:rPr>
          <w:rFonts w:ascii="Times New Roman" w:eastAsia="Arial MT" w:hAnsi="Times New Roman" w:cs="Times New Roman"/>
          <w:sz w:val="24"/>
          <w:szCs w:val="24"/>
        </w:rPr>
      </w:pPr>
      <w:r w:rsidRPr="00E42AD7">
        <w:rPr>
          <w:rFonts w:ascii="Times New Roman" w:eastAsia="Arial MT" w:hAnsi="Times New Roman" w:cs="Times New Roman"/>
          <w:sz w:val="24"/>
          <w:szCs w:val="24"/>
        </w:rPr>
        <w:t>Jā, saprasts pareizi. </w:t>
      </w:r>
    </w:p>
    <w:p w14:paraId="71FC91DC" w14:textId="7FADBC22" w:rsidR="00B36AD9" w:rsidRPr="00B36AD9" w:rsidRDefault="00B36AD9" w:rsidP="00B36AD9">
      <w:pPr>
        <w:jc w:val="both"/>
        <w:rPr>
          <w:rFonts w:ascii="Times New Roman" w:hAnsi="Times New Roman" w:cs="Times New Roman"/>
          <w:b/>
          <w:bCs/>
          <w:sz w:val="24"/>
          <w:szCs w:val="24"/>
          <w:u w:val="single"/>
        </w:rPr>
      </w:pPr>
      <w:r w:rsidRPr="00B36AD9">
        <w:rPr>
          <w:rFonts w:ascii="Times New Roman" w:hAnsi="Times New Roman" w:cs="Times New Roman"/>
          <w:b/>
          <w:bCs/>
          <w:sz w:val="24"/>
          <w:szCs w:val="24"/>
          <w:u w:val="single"/>
        </w:rPr>
        <w:t>Jautājums:</w:t>
      </w:r>
      <w:r w:rsidRPr="00B36AD9">
        <w:rPr>
          <w:rFonts w:ascii="Times New Roman" w:eastAsia="Arial MT" w:hAnsi="Times New Roman" w:cs="Times New Roman"/>
          <w:sz w:val="24"/>
          <w:szCs w:val="24"/>
        </w:rPr>
        <w:t> </w:t>
      </w:r>
    </w:p>
    <w:p w14:paraId="0174988A" w14:textId="77777777" w:rsidR="00B36AD9" w:rsidRPr="00B36AD9" w:rsidRDefault="00B36AD9" w:rsidP="00B36AD9">
      <w:pPr>
        <w:spacing w:after="0" w:line="240" w:lineRule="auto"/>
        <w:jc w:val="both"/>
        <w:rPr>
          <w:rFonts w:ascii="Times New Roman" w:eastAsia="Arial MT" w:hAnsi="Times New Roman" w:cs="Times New Roman"/>
          <w:sz w:val="24"/>
          <w:szCs w:val="24"/>
        </w:rPr>
      </w:pPr>
      <w:r w:rsidRPr="00B36AD9">
        <w:rPr>
          <w:rFonts w:ascii="Times New Roman" w:eastAsia="Arial MT" w:hAnsi="Times New Roman" w:cs="Times New Roman"/>
          <w:sz w:val="24"/>
          <w:szCs w:val="24"/>
        </w:rPr>
        <w:t>4.Tehniskā Piedāvājuma 4.punktā pie gala nodevumiem 2.punktā minēti arī Sabiedrisko attiecību un informatīvie materiāli, un tālāk 3.punktā – Viedokļu raksti, taču Nolikumā un Cenu aprēķinu tabulās tie nav minēti. Vai ir jāietver arī cena par Sabiedrisko attiecību un informatīvajiem materiāliem un Viedokļu rakstiem – ja jā, tad par kādiem un par cik gab?</w:t>
      </w:r>
    </w:p>
    <w:p w14:paraId="42A15933" w14:textId="77777777" w:rsidR="00B36AD9" w:rsidRPr="00B36AD9" w:rsidRDefault="00B36AD9" w:rsidP="00B36AD9">
      <w:pPr>
        <w:spacing w:after="0" w:line="240" w:lineRule="auto"/>
        <w:jc w:val="both"/>
        <w:rPr>
          <w:rFonts w:ascii="Times New Roman" w:eastAsia="Times New Roman" w:hAnsi="Times New Roman" w:cs="Times New Roman"/>
          <w:b/>
          <w:bCs/>
          <w:sz w:val="24"/>
          <w:szCs w:val="24"/>
          <w:u w:val="single"/>
          <w:lang w:eastAsia="lv-LV"/>
        </w:rPr>
      </w:pPr>
      <w:r w:rsidRPr="00B36AD9">
        <w:rPr>
          <w:rFonts w:ascii="Times New Roman" w:eastAsia="Arial MT" w:hAnsi="Times New Roman" w:cs="Times New Roman"/>
          <w:sz w:val="24"/>
          <w:szCs w:val="24"/>
        </w:rPr>
        <w:t> </w:t>
      </w:r>
      <w:r w:rsidRPr="00B36AD9">
        <w:rPr>
          <w:rFonts w:ascii="Times New Roman" w:eastAsia="Times New Roman" w:hAnsi="Times New Roman" w:cs="Times New Roman"/>
          <w:b/>
          <w:bCs/>
          <w:sz w:val="24"/>
          <w:szCs w:val="24"/>
          <w:u w:val="single"/>
          <w:lang w:eastAsia="lv-LV"/>
        </w:rPr>
        <w:t>Atbilde:</w:t>
      </w:r>
    </w:p>
    <w:p w14:paraId="42E7C1AF" w14:textId="2A30B0A7" w:rsidR="00B36AD9" w:rsidRPr="00B36AD9" w:rsidRDefault="00E42AD7" w:rsidP="00B36AD9">
      <w:pPr>
        <w:jc w:val="both"/>
        <w:rPr>
          <w:rFonts w:ascii="Times New Roman" w:eastAsia="Arial MT" w:hAnsi="Times New Roman" w:cs="Times New Roman"/>
          <w:sz w:val="24"/>
          <w:szCs w:val="24"/>
        </w:rPr>
      </w:pPr>
      <w:r w:rsidRPr="00E42AD7">
        <w:rPr>
          <w:rFonts w:ascii="Times New Roman" w:eastAsia="Arial MT" w:hAnsi="Times New Roman" w:cs="Times New Roman"/>
          <w:sz w:val="24"/>
          <w:szCs w:val="24"/>
        </w:rPr>
        <w:t>Viedokļu rakstus sagatavos un publicēs pasūtītājs, par to atsevišķa izmaksa nav jāaprēķina. </w:t>
      </w:r>
    </w:p>
    <w:p w14:paraId="4FFE2D57" w14:textId="77777777" w:rsidR="00B36AD9" w:rsidRPr="00B36AD9" w:rsidRDefault="00B36AD9" w:rsidP="00B36AD9">
      <w:pPr>
        <w:jc w:val="both"/>
        <w:rPr>
          <w:rFonts w:ascii="Times New Roman" w:hAnsi="Times New Roman" w:cs="Times New Roman"/>
          <w:b/>
          <w:bCs/>
          <w:sz w:val="24"/>
          <w:szCs w:val="24"/>
          <w:u w:val="single"/>
        </w:rPr>
      </w:pPr>
      <w:r w:rsidRPr="00B36AD9">
        <w:rPr>
          <w:rFonts w:ascii="Times New Roman" w:hAnsi="Times New Roman" w:cs="Times New Roman"/>
          <w:b/>
          <w:bCs/>
          <w:sz w:val="24"/>
          <w:szCs w:val="24"/>
          <w:u w:val="single"/>
        </w:rPr>
        <w:t>Jautājums:</w:t>
      </w:r>
    </w:p>
    <w:p w14:paraId="0D00353E" w14:textId="77777777" w:rsidR="00B36AD9" w:rsidRPr="00B36AD9" w:rsidRDefault="00B36AD9" w:rsidP="00B36AD9">
      <w:pPr>
        <w:spacing w:after="0" w:line="240" w:lineRule="auto"/>
        <w:jc w:val="both"/>
        <w:rPr>
          <w:rFonts w:ascii="Times New Roman" w:eastAsia="Arial MT" w:hAnsi="Times New Roman" w:cs="Times New Roman"/>
          <w:sz w:val="24"/>
          <w:szCs w:val="24"/>
        </w:rPr>
      </w:pPr>
      <w:r w:rsidRPr="00B36AD9">
        <w:rPr>
          <w:rFonts w:ascii="Times New Roman" w:eastAsia="Arial MT" w:hAnsi="Times New Roman" w:cs="Times New Roman"/>
          <w:sz w:val="24"/>
          <w:szCs w:val="24"/>
        </w:rPr>
        <w:t>5.Pie 3.punkta (prasības pretendentiem) 3.1.1. punktā minēts, ka jāiesniedz pieredze saskaņā ar 4.pielikuma formu, taču 4.pielikums ir Apliecinājums. Vai šeit lūdzu būtu domāta 5.pielikuma forma?</w:t>
      </w:r>
    </w:p>
    <w:p w14:paraId="0C949DD7" w14:textId="77777777" w:rsidR="002C388B" w:rsidRPr="00B36AD9" w:rsidRDefault="002C388B" w:rsidP="002C388B">
      <w:pPr>
        <w:spacing w:after="0" w:line="240" w:lineRule="auto"/>
        <w:jc w:val="both"/>
        <w:rPr>
          <w:rFonts w:ascii="Times New Roman" w:eastAsia="Times New Roman" w:hAnsi="Times New Roman" w:cs="Times New Roman"/>
          <w:sz w:val="24"/>
          <w:szCs w:val="24"/>
          <w:lang w:eastAsia="lv-LV"/>
        </w:rPr>
      </w:pPr>
    </w:p>
    <w:p w14:paraId="60EBE9EE" w14:textId="77777777" w:rsidR="002C388B" w:rsidRPr="00B36AD9" w:rsidRDefault="002C388B" w:rsidP="002C388B">
      <w:pPr>
        <w:spacing w:after="0" w:line="240" w:lineRule="auto"/>
        <w:jc w:val="both"/>
        <w:rPr>
          <w:rFonts w:ascii="Times New Roman" w:eastAsia="Times New Roman" w:hAnsi="Times New Roman" w:cs="Times New Roman"/>
          <w:b/>
          <w:bCs/>
          <w:sz w:val="24"/>
          <w:szCs w:val="24"/>
          <w:u w:val="single"/>
          <w:lang w:eastAsia="lv-LV"/>
        </w:rPr>
      </w:pPr>
      <w:r w:rsidRPr="00B36AD9">
        <w:rPr>
          <w:rFonts w:ascii="Times New Roman" w:eastAsia="Times New Roman" w:hAnsi="Times New Roman" w:cs="Times New Roman"/>
          <w:b/>
          <w:bCs/>
          <w:sz w:val="24"/>
          <w:szCs w:val="24"/>
          <w:u w:val="single"/>
          <w:lang w:eastAsia="lv-LV"/>
        </w:rPr>
        <w:t>Atbilde:</w:t>
      </w:r>
    </w:p>
    <w:p w14:paraId="797B6B24" w14:textId="0019B913" w:rsidR="00AB470C" w:rsidRPr="00B36AD9" w:rsidRDefault="00E42AD7" w:rsidP="00D64D6A">
      <w:pPr>
        <w:jc w:val="both"/>
        <w:rPr>
          <w:rFonts w:ascii="Times New Roman" w:hAnsi="Times New Roman" w:cs="Times New Roman"/>
          <w:sz w:val="24"/>
          <w:szCs w:val="24"/>
        </w:rPr>
      </w:pPr>
      <w:r>
        <w:rPr>
          <w:rFonts w:ascii="Times New Roman" w:hAnsi="Times New Roman" w:cs="Times New Roman"/>
          <w:sz w:val="24"/>
          <w:szCs w:val="24"/>
        </w:rPr>
        <w:t>Jā, minētā punkta pieredze jāapliecina saskaņā ar 5. pielikuma formu.</w:t>
      </w:r>
    </w:p>
    <w:sectPr w:rsidR="00AB470C" w:rsidRPr="00B36AD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2658DB"/>
    <w:multiLevelType w:val="hybridMultilevel"/>
    <w:tmpl w:val="61D487C8"/>
    <w:lvl w:ilvl="0" w:tplc="AE36C84A">
      <w:start w:val="1"/>
      <w:numFmt w:val="bullet"/>
      <w:lvlText w:val=""/>
      <w:lvlJc w:val="left"/>
      <w:pPr>
        <w:ind w:left="720" w:hanging="360"/>
      </w:pPr>
      <w:rPr>
        <w:rFonts w:ascii="Symbol" w:hAnsi="Symbol" w:hint="default"/>
      </w:rPr>
    </w:lvl>
    <w:lvl w:ilvl="1" w:tplc="5F2A40D6">
      <w:start w:val="1"/>
      <w:numFmt w:val="bullet"/>
      <w:lvlText w:val="o"/>
      <w:lvlJc w:val="left"/>
      <w:pPr>
        <w:ind w:left="1440" w:hanging="360"/>
      </w:pPr>
      <w:rPr>
        <w:rFonts w:ascii="Courier New" w:hAnsi="Courier New" w:cs="Times New Roman" w:hint="default"/>
      </w:rPr>
    </w:lvl>
    <w:lvl w:ilvl="2" w:tplc="D48EE7E6">
      <w:start w:val="1"/>
      <w:numFmt w:val="bullet"/>
      <w:lvlText w:val=""/>
      <w:lvlJc w:val="left"/>
      <w:pPr>
        <w:ind w:left="2160" w:hanging="360"/>
      </w:pPr>
      <w:rPr>
        <w:rFonts w:ascii="Wingdings" w:hAnsi="Wingdings" w:hint="default"/>
      </w:rPr>
    </w:lvl>
    <w:lvl w:ilvl="3" w:tplc="F9BC3F86">
      <w:start w:val="1"/>
      <w:numFmt w:val="bullet"/>
      <w:lvlText w:val=""/>
      <w:lvlJc w:val="left"/>
      <w:pPr>
        <w:ind w:left="2880" w:hanging="360"/>
      </w:pPr>
      <w:rPr>
        <w:rFonts w:ascii="Symbol" w:hAnsi="Symbol" w:hint="default"/>
      </w:rPr>
    </w:lvl>
    <w:lvl w:ilvl="4" w:tplc="450668B6">
      <w:start w:val="1"/>
      <w:numFmt w:val="bullet"/>
      <w:lvlText w:val="o"/>
      <w:lvlJc w:val="left"/>
      <w:pPr>
        <w:ind w:left="3600" w:hanging="360"/>
      </w:pPr>
      <w:rPr>
        <w:rFonts w:ascii="Courier New" w:hAnsi="Courier New" w:cs="Times New Roman" w:hint="default"/>
      </w:rPr>
    </w:lvl>
    <w:lvl w:ilvl="5" w:tplc="7924C21C">
      <w:start w:val="1"/>
      <w:numFmt w:val="bullet"/>
      <w:lvlText w:val=""/>
      <w:lvlJc w:val="left"/>
      <w:pPr>
        <w:ind w:left="4320" w:hanging="360"/>
      </w:pPr>
      <w:rPr>
        <w:rFonts w:ascii="Wingdings" w:hAnsi="Wingdings" w:hint="default"/>
      </w:rPr>
    </w:lvl>
    <w:lvl w:ilvl="6" w:tplc="5CD0FF28">
      <w:start w:val="1"/>
      <w:numFmt w:val="bullet"/>
      <w:lvlText w:val=""/>
      <w:lvlJc w:val="left"/>
      <w:pPr>
        <w:ind w:left="5040" w:hanging="360"/>
      </w:pPr>
      <w:rPr>
        <w:rFonts w:ascii="Symbol" w:hAnsi="Symbol" w:hint="default"/>
      </w:rPr>
    </w:lvl>
    <w:lvl w:ilvl="7" w:tplc="2556DB9E">
      <w:start w:val="1"/>
      <w:numFmt w:val="bullet"/>
      <w:lvlText w:val="o"/>
      <w:lvlJc w:val="left"/>
      <w:pPr>
        <w:ind w:left="5760" w:hanging="360"/>
      </w:pPr>
      <w:rPr>
        <w:rFonts w:ascii="Courier New" w:hAnsi="Courier New" w:cs="Times New Roman" w:hint="default"/>
      </w:rPr>
    </w:lvl>
    <w:lvl w:ilvl="8" w:tplc="E848B642">
      <w:start w:val="1"/>
      <w:numFmt w:val="bullet"/>
      <w:lvlText w:val=""/>
      <w:lvlJc w:val="left"/>
      <w:pPr>
        <w:ind w:left="6480" w:hanging="360"/>
      </w:pPr>
      <w:rPr>
        <w:rFonts w:ascii="Wingdings" w:hAnsi="Wingdings" w:hint="default"/>
      </w:rPr>
    </w:lvl>
  </w:abstractNum>
  <w:num w:numId="1" w16cid:durableId="570118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70C"/>
    <w:rsid w:val="00046C2A"/>
    <w:rsid w:val="00132358"/>
    <w:rsid w:val="002C388B"/>
    <w:rsid w:val="005007F4"/>
    <w:rsid w:val="006D7C57"/>
    <w:rsid w:val="00AB470C"/>
    <w:rsid w:val="00B36AD9"/>
    <w:rsid w:val="00D64D6A"/>
    <w:rsid w:val="00E42AD7"/>
    <w:rsid w:val="00F22D08"/>
    <w:rsid w:val="00FB51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751B0"/>
  <w15:chartTrackingRefBased/>
  <w15:docId w15:val="{43373C72-661D-47AD-8578-72D7B4F59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eld-text">
    <w:name w:val="field-text"/>
    <w:basedOn w:val="DefaultParagraphFont"/>
    <w:rsid w:val="00AB470C"/>
  </w:style>
  <w:style w:type="paragraph" w:customStyle="1" w:styleId="TableParagraph">
    <w:name w:val="Table Paragraph"/>
    <w:basedOn w:val="Normal"/>
    <w:uiPriority w:val="1"/>
    <w:qFormat/>
    <w:rsid w:val="00FB51F6"/>
    <w:pPr>
      <w:widowControl w:val="0"/>
      <w:autoSpaceDE w:val="0"/>
      <w:autoSpaceDN w:val="0"/>
      <w:spacing w:after="0" w:line="240" w:lineRule="auto"/>
    </w:pPr>
    <w:rPr>
      <w:rFonts w:ascii="Arial MT" w:eastAsia="Arial MT" w:hAnsi="Arial MT" w:cs="Arial MT"/>
    </w:rPr>
  </w:style>
  <w:style w:type="character" w:styleId="Hyperlink">
    <w:name w:val="Hyperlink"/>
    <w:basedOn w:val="DefaultParagraphFont"/>
    <w:uiPriority w:val="99"/>
    <w:unhideWhenUsed/>
    <w:rsid w:val="002C388B"/>
    <w:rPr>
      <w:color w:val="0563C1" w:themeColor="hyperlink"/>
      <w:u w:val="single"/>
    </w:rPr>
  </w:style>
  <w:style w:type="character" w:styleId="UnresolvedMention">
    <w:name w:val="Unresolved Mention"/>
    <w:basedOn w:val="DefaultParagraphFont"/>
    <w:uiPriority w:val="99"/>
    <w:semiHidden/>
    <w:unhideWhenUsed/>
    <w:rsid w:val="002C3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15450">
      <w:bodyDiv w:val="1"/>
      <w:marLeft w:val="0"/>
      <w:marRight w:val="0"/>
      <w:marTop w:val="0"/>
      <w:marBottom w:val="0"/>
      <w:divBdr>
        <w:top w:val="none" w:sz="0" w:space="0" w:color="auto"/>
        <w:left w:val="none" w:sz="0" w:space="0" w:color="auto"/>
        <w:bottom w:val="none" w:sz="0" w:space="0" w:color="auto"/>
        <w:right w:val="none" w:sz="0" w:space="0" w:color="auto"/>
      </w:divBdr>
      <w:divsChild>
        <w:div w:id="1451897887">
          <w:marLeft w:val="0"/>
          <w:marRight w:val="0"/>
          <w:marTop w:val="0"/>
          <w:marBottom w:val="0"/>
          <w:divBdr>
            <w:top w:val="none" w:sz="0" w:space="0" w:color="auto"/>
            <w:left w:val="none" w:sz="0" w:space="0" w:color="auto"/>
            <w:bottom w:val="none" w:sz="0" w:space="0" w:color="auto"/>
            <w:right w:val="none" w:sz="0" w:space="0" w:color="auto"/>
          </w:divBdr>
        </w:div>
      </w:divsChild>
    </w:div>
    <w:div w:id="787234742">
      <w:bodyDiv w:val="1"/>
      <w:marLeft w:val="0"/>
      <w:marRight w:val="0"/>
      <w:marTop w:val="0"/>
      <w:marBottom w:val="0"/>
      <w:divBdr>
        <w:top w:val="none" w:sz="0" w:space="0" w:color="auto"/>
        <w:left w:val="none" w:sz="0" w:space="0" w:color="auto"/>
        <w:bottom w:val="none" w:sz="0" w:space="0" w:color="auto"/>
        <w:right w:val="none" w:sz="0" w:space="0" w:color="auto"/>
      </w:divBdr>
      <w:divsChild>
        <w:div w:id="1815483675">
          <w:marLeft w:val="0"/>
          <w:marRight w:val="0"/>
          <w:marTop w:val="0"/>
          <w:marBottom w:val="0"/>
          <w:divBdr>
            <w:top w:val="none" w:sz="0" w:space="0" w:color="auto"/>
            <w:left w:val="none" w:sz="0" w:space="0" w:color="auto"/>
            <w:bottom w:val="none" w:sz="0" w:space="0" w:color="auto"/>
            <w:right w:val="none" w:sz="0" w:space="0" w:color="auto"/>
          </w:divBdr>
        </w:div>
      </w:divsChild>
    </w:div>
    <w:div w:id="990334443">
      <w:bodyDiv w:val="1"/>
      <w:marLeft w:val="0"/>
      <w:marRight w:val="0"/>
      <w:marTop w:val="0"/>
      <w:marBottom w:val="0"/>
      <w:divBdr>
        <w:top w:val="none" w:sz="0" w:space="0" w:color="auto"/>
        <w:left w:val="none" w:sz="0" w:space="0" w:color="auto"/>
        <w:bottom w:val="none" w:sz="0" w:space="0" w:color="auto"/>
        <w:right w:val="none" w:sz="0" w:space="0" w:color="auto"/>
      </w:divBdr>
      <w:divsChild>
        <w:div w:id="1894807666">
          <w:marLeft w:val="0"/>
          <w:marRight w:val="0"/>
          <w:marTop w:val="0"/>
          <w:marBottom w:val="0"/>
          <w:divBdr>
            <w:top w:val="none" w:sz="0" w:space="0" w:color="auto"/>
            <w:left w:val="none" w:sz="0" w:space="0" w:color="auto"/>
            <w:bottom w:val="none" w:sz="0" w:space="0" w:color="auto"/>
            <w:right w:val="none" w:sz="0" w:space="0" w:color="auto"/>
          </w:divBdr>
        </w:div>
        <w:div w:id="1258755581">
          <w:marLeft w:val="0"/>
          <w:marRight w:val="0"/>
          <w:marTop w:val="0"/>
          <w:marBottom w:val="0"/>
          <w:divBdr>
            <w:top w:val="none" w:sz="0" w:space="0" w:color="auto"/>
            <w:left w:val="none" w:sz="0" w:space="0" w:color="auto"/>
            <w:bottom w:val="none" w:sz="0" w:space="0" w:color="auto"/>
            <w:right w:val="none" w:sz="0" w:space="0" w:color="auto"/>
          </w:divBdr>
        </w:div>
        <w:div w:id="759444370">
          <w:marLeft w:val="0"/>
          <w:marRight w:val="0"/>
          <w:marTop w:val="0"/>
          <w:marBottom w:val="0"/>
          <w:divBdr>
            <w:top w:val="none" w:sz="0" w:space="0" w:color="auto"/>
            <w:left w:val="none" w:sz="0" w:space="0" w:color="auto"/>
            <w:bottom w:val="none" w:sz="0" w:space="0" w:color="auto"/>
            <w:right w:val="none" w:sz="0" w:space="0" w:color="auto"/>
          </w:divBdr>
        </w:div>
        <w:div w:id="2002467317">
          <w:marLeft w:val="0"/>
          <w:marRight w:val="0"/>
          <w:marTop w:val="0"/>
          <w:marBottom w:val="0"/>
          <w:divBdr>
            <w:top w:val="none" w:sz="0" w:space="0" w:color="auto"/>
            <w:left w:val="none" w:sz="0" w:space="0" w:color="auto"/>
            <w:bottom w:val="none" w:sz="0" w:space="0" w:color="auto"/>
            <w:right w:val="none" w:sz="0" w:space="0" w:color="auto"/>
          </w:divBdr>
        </w:div>
        <w:div w:id="1918438686">
          <w:marLeft w:val="0"/>
          <w:marRight w:val="0"/>
          <w:marTop w:val="0"/>
          <w:marBottom w:val="0"/>
          <w:divBdr>
            <w:top w:val="none" w:sz="0" w:space="0" w:color="auto"/>
            <w:left w:val="none" w:sz="0" w:space="0" w:color="auto"/>
            <w:bottom w:val="none" w:sz="0" w:space="0" w:color="auto"/>
            <w:right w:val="none" w:sz="0" w:space="0" w:color="auto"/>
          </w:divBdr>
        </w:div>
      </w:divsChild>
    </w:div>
    <w:div w:id="2115857099">
      <w:bodyDiv w:val="1"/>
      <w:marLeft w:val="0"/>
      <w:marRight w:val="0"/>
      <w:marTop w:val="0"/>
      <w:marBottom w:val="0"/>
      <w:divBdr>
        <w:top w:val="none" w:sz="0" w:space="0" w:color="auto"/>
        <w:left w:val="none" w:sz="0" w:space="0" w:color="auto"/>
        <w:bottom w:val="none" w:sz="0" w:space="0" w:color="auto"/>
        <w:right w:val="none" w:sz="0" w:space="0" w:color="auto"/>
      </w:divBdr>
      <w:divsChild>
        <w:div w:id="314190813">
          <w:marLeft w:val="0"/>
          <w:marRight w:val="0"/>
          <w:marTop w:val="0"/>
          <w:marBottom w:val="0"/>
          <w:divBdr>
            <w:top w:val="none" w:sz="0" w:space="0" w:color="auto"/>
            <w:left w:val="none" w:sz="0" w:space="0" w:color="auto"/>
            <w:bottom w:val="none" w:sz="0" w:space="0" w:color="auto"/>
            <w:right w:val="none" w:sz="0" w:space="0" w:color="auto"/>
          </w:divBdr>
        </w:div>
        <w:div w:id="1583445282">
          <w:marLeft w:val="0"/>
          <w:marRight w:val="0"/>
          <w:marTop w:val="0"/>
          <w:marBottom w:val="0"/>
          <w:divBdr>
            <w:top w:val="none" w:sz="0" w:space="0" w:color="auto"/>
            <w:left w:val="none" w:sz="0" w:space="0" w:color="auto"/>
            <w:bottom w:val="none" w:sz="0" w:space="0" w:color="auto"/>
            <w:right w:val="none" w:sz="0" w:space="0" w:color="auto"/>
          </w:divBdr>
        </w:div>
        <w:div w:id="1933317522">
          <w:marLeft w:val="0"/>
          <w:marRight w:val="0"/>
          <w:marTop w:val="0"/>
          <w:marBottom w:val="0"/>
          <w:divBdr>
            <w:top w:val="none" w:sz="0" w:space="0" w:color="auto"/>
            <w:left w:val="none" w:sz="0" w:space="0" w:color="auto"/>
            <w:bottom w:val="none" w:sz="0" w:space="0" w:color="auto"/>
            <w:right w:val="none" w:sz="0" w:space="0" w:color="auto"/>
          </w:divBdr>
        </w:div>
        <w:div w:id="492917538">
          <w:marLeft w:val="0"/>
          <w:marRight w:val="0"/>
          <w:marTop w:val="0"/>
          <w:marBottom w:val="0"/>
          <w:divBdr>
            <w:top w:val="none" w:sz="0" w:space="0" w:color="auto"/>
            <w:left w:val="none" w:sz="0" w:space="0" w:color="auto"/>
            <w:bottom w:val="none" w:sz="0" w:space="0" w:color="auto"/>
            <w:right w:val="none" w:sz="0" w:space="0" w:color="auto"/>
          </w:divBdr>
        </w:div>
        <w:div w:id="1314986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494</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Tauriņa</dc:creator>
  <cp:keywords/>
  <dc:description/>
  <cp:lastModifiedBy>Līva Tauriņa</cp:lastModifiedBy>
  <cp:revision>3</cp:revision>
  <dcterms:created xsi:type="dcterms:W3CDTF">2026-08-11T09:46:00Z</dcterms:created>
  <dcterms:modified xsi:type="dcterms:W3CDTF">2026-08-11T11:57:00Z</dcterms:modified>
</cp:coreProperties>
</file>