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BA888" w14:textId="77777777" w:rsidR="00D552D5" w:rsidRPr="00FD61B6" w:rsidRDefault="00D552D5" w:rsidP="00D552D5">
      <w:pPr>
        <w:pStyle w:val="Default"/>
        <w:jc w:val="both"/>
        <w:rPr>
          <w:color w:val="auto"/>
        </w:rPr>
      </w:pPr>
    </w:p>
    <w:p w14:paraId="383CA0F1" w14:textId="6A77CD98" w:rsidR="00D552D5" w:rsidRPr="00FD61B6" w:rsidRDefault="00D552D5" w:rsidP="00D552D5">
      <w:pPr>
        <w:pStyle w:val="Default"/>
        <w:spacing w:before="5"/>
        <w:jc w:val="both"/>
        <w:rPr>
          <w:color w:val="auto"/>
        </w:rPr>
      </w:pPr>
      <w:r w:rsidRPr="00FD61B6">
        <w:rPr>
          <w:color w:val="auto"/>
        </w:rPr>
        <w:t xml:space="preserve">Jautājums Nr.1 </w:t>
      </w:r>
    </w:p>
    <w:p w14:paraId="1F471B1D" w14:textId="77777777" w:rsidR="00D552D5" w:rsidRPr="00FD61B6" w:rsidRDefault="00D552D5" w:rsidP="00D552D5">
      <w:pPr>
        <w:pStyle w:val="Default"/>
        <w:spacing w:before="5"/>
        <w:ind w:left="14"/>
        <w:jc w:val="both"/>
        <w:rPr>
          <w:color w:val="auto"/>
        </w:rPr>
      </w:pPr>
      <w:r w:rsidRPr="00FD61B6">
        <w:rPr>
          <w:color w:val="auto"/>
        </w:rPr>
        <w:t>Vēlamies precizēt, ka mūsu jautājums nebija par nepieciešamību izmantot dažādu tilpumu iepakojumus. Ir saprotams, ka dažādām slimnīcas struktūrvienībām var būt nepieciešami gan 750–1000 ml flakoni, gan 4–6 litru kannas.</w:t>
      </w:r>
    </w:p>
    <w:p w14:paraId="05E7E5A8" w14:textId="77777777" w:rsidR="00D552D5" w:rsidRPr="00FD61B6" w:rsidRDefault="00D552D5" w:rsidP="00D552D5">
      <w:pPr>
        <w:pStyle w:val="Default"/>
        <w:spacing w:before="3"/>
        <w:ind w:left="14"/>
        <w:jc w:val="both"/>
        <w:rPr>
          <w:color w:val="auto"/>
        </w:rPr>
      </w:pPr>
      <w:r w:rsidRPr="00FD61B6">
        <w:rPr>
          <w:color w:val="auto"/>
        </w:rPr>
        <w:t>Tomēr no Jūsu atbildes nav saprotams, kāpēc šī vajadzība tiek risināta, veidojot divas atsevišķas iepirkuma daļas.</w:t>
      </w:r>
    </w:p>
    <w:p w14:paraId="2C620166" w14:textId="77777777" w:rsidR="00D552D5" w:rsidRPr="00FD61B6" w:rsidRDefault="00D552D5" w:rsidP="00D552D5">
      <w:pPr>
        <w:pStyle w:val="Default"/>
        <w:spacing w:before="3"/>
        <w:ind w:left="14"/>
        <w:jc w:val="both"/>
        <w:rPr>
          <w:color w:val="auto"/>
        </w:rPr>
      </w:pPr>
      <w:r w:rsidRPr="00FD61B6">
        <w:rPr>
          <w:color w:val="auto"/>
        </w:rPr>
        <w:t>Salīdzinot 17. un 25. iepirkuma daļu, secināms, ka tehniskās prasības dezinfekcijas līdzeklim ir identiskas. Vienīgā atšķirība ir tā, ka 25. daļā papildus paredzēts piedāvāt 4–6 litru iepakojumu.</w:t>
      </w:r>
    </w:p>
    <w:p w14:paraId="46DC75B4" w14:textId="77777777" w:rsidR="00D552D5" w:rsidRPr="00FD61B6" w:rsidRDefault="00D552D5" w:rsidP="00D552D5">
      <w:pPr>
        <w:pStyle w:val="Default"/>
        <w:spacing w:before="3"/>
        <w:ind w:left="14"/>
        <w:jc w:val="both"/>
        <w:rPr>
          <w:color w:val="auto"/>
        </w:rPr>
      </w:pPr>
      <w:r w:rsidRPr="00FD61B6">
        <w:rPr>
          <w:color w:val="auto"/>
        </w:rPr>
        <w:t>Līdz ar to lūdzam paskaidrot, kāpēc nav paredzēta viena iepirkuma daļa, kurā vienam un tam pašam produktam tiek prasīti abi iepakojuma veidi (750–1000 ml flakons un 4–6 l kanna), nevis divas atsevišķas iepirkuma daļas ar identiskām tehniskajām prasībām.</w:t>
      </w:r>
    </w:p>
    <w:p w14:paraId="129C5774" w14:textId="77777777" w:rsidR="00D552D5" w:rsidRPr="00FD61B6" w:rsidRDefault="00D552D5" w:rsidP="00D552D5">
      <w:pPr>
        <w:pStyle w:val="Default"/>
        <w:spacing w:before="3"/>
        <w:ind w:left="14"/>
        <w:jc w:val="both"/>
        <w:rPr>
          <w:color w:val="auto"/>
        </w:rPr>
      </w:pPr>
      <w:r w:rsidRPr="00FD61B6">
        <w:rPr>
          <w:color w:val="auto"/>
        </w:rPr>
        <w:t>Šāds risinājums ļautu Pasūtītājam iegādāties vienu un to pašu produktu dažādos iepakojumos, vienlaikus samazinot administratīvo slogu gan Pasūtītājam, gan pretendentiem.</w:t>
      </w:r>
    </w:p>
    <w:p w14:paraId="2C1E3041" w14:textId="619B077F" w:rsidR="00671F9A" w:rsidRPr="00FD61B6" w:rsidRDefault="00D552D5" w:rsidP="00D552D5">
      <w:pPr>
        <w:jc w:val="both"/>
        <w:rPr>
          <w:rFonts w:ascii="Times New Roman" w:hAnsi="Times New Roman" w:cs="Times New Roman"/>
          <w:sz w:val="24"/>
          <w:szCs w:val="24"/>
        </w:rPr>
      </w:pPr>
      <w:r w:rsidRPr="00FD61B6">
        <w:rPr>
          <w:rFonts w:ascii="Times New Roman" w:hAnsi="Times New Roman" w:cs="Times New Roman"/>
          <w:sz w:val="24"/>
          <w:szCs w:val="24"/>
        </w:rPr>
        <w:t>Lūdzam arī paskaidrot, kā divu identisku iepirkuma daļu izveidošana, kuras atšķiras tikai ar iepakojuma lielumu, veicina konkurenci vai nodrošina saimnieciski izdevīgāku iepirkuma rezultātu salīdzinājumā ar vienu iepirkuma daļu, kurā paredzēti abi iepakojuma veidi.</w:t>
      </w:r>
    </w:p>
    <w:p w14:paraId="137B7179" w14:textId="01BCFCBD" w:rsidR="00D552D5" w:rsidRPr="00FD61B6" w:rsidRDefault="00D552D5" w:rsidP="00D552D5">
      <w:pPr>
        <w:jc w:val="both"/>
        <w:rPr>
          <w:rFonts w:ascii="Times New Roman" w:hAnsi="Times New Roman" w:cs="Times New Roman"/>
          <w:sz w:val="24"/>
          <w:szCs w:val="24"/>
        </w:rPr>
      </w:pPr>
    </w:p>
    <w:p w14:paraId="4A38809A" w14:textId="7A586D08" w:rsidR="00D552D5" w:rsidRPr="00FD61B6" w:rsidRDefault="00D552D5" w:rsidP="00D552D5">
      <w:pPr>
        <w:jc w:val="both"/>
        <w:rPr>
          <w:rFonts w:ascii="Times New Roman" w:hAnsi="Times New Roman" w:cs="Times New Roman"/>
          <w:sz w:val="24"/>
          <w:szCs w:val="24"/>
        </w:rPr>
      </w:pPr>
      <w:r w:rsidRPr="00FD61B6">
        <w:rPr>
          <w:rFonts w:ascii="Times New Roman" w:hAnsi="Times New Roman" w:cs="Times New Roman"/>
          <w:sz w:val="24"/>
          <w:szCs w:val="24"/>
        </w:rPr>
        <w:t>Atbilde nr.1</w:t>
      </w:r>
    </w:p>
    <w:p w14:paraId="2D5BC045" w14:textId="71CD3E3B" w:rsidR="00D552D5" w:rsidRPr="00FD61B6" w:rsidRDefault="00944ED3" w:rsidP="00D552D5">
      <w:pPr>
        <w:jc w:val="both"/>
        <w:rPr>
          <w:rFonts w:ascii="Times New Roman" w:hAnsi="Times New Roman" w:cs="Times New Roman"/>
          <w:sz w:val="24"/>
          <w:szCs w:val="24"/>
        </w:rPr>
      </w:pPr>
      <w:r w:rsidRPr="00FD61B6">
        <w:rPr>
          <w:rFonts w:ascii="Times New Roman" w:hAnsi="Times New Roman" w:cs="Times New Roman"/>
          <w:sz w:val="24"/>
          <w:szCs w:val="24"/>
        </w:rPr>
        <w:t>P</w:t>
      </w:r>
      <w:r w:rsidR="00D552D5" w:rsidRPr="00FD61B6">
        <w:rPr>
          <w:rFonts w:ascii="Times New Roman" w:hAnsi="Times New Roman" w:cs="Times New Roman"/>
          <w:sz w:val="24"/>
          <w:szCs w:val="24"/>
        </w:rPr>
        <w:t xml:space="preserve">IL </w:t>
      </w:r>
      <w:r w:rsidRPr="00FD61B6">
        <w:rPr>
          <w:rFonts w:ascii="Times New Roman" w:hAnsi="Times New Roman" w:cs="Times New Roman"/>
          <w:sz w:val="24"/>
          <w:szCs w:val="24"/>
        </w:rPr>
        <w:t>mērķis ir nodrošināt brīvu konkurenci. Tirgū ir piegādātāji, kuru piedāvājumā konkrētais līdzeklis ir pieejams tikai mazos flakonos, tāpēc apvienojot abas prasības vienā daļā, tiktu nepamatoti sašaurināts pretendentu loks un izslēgti tie tirgus dalībnieki, kuri nespēj nodrošināt abus iepakojuma veidus reizē. Savukārt 25.daļā norādīti abi tilpumi, jo lielo kannu līdzekli nedrīkst liet citu firmu mazos flakonos, jo tāda situācija varētu gadīties, ja tilpumi katrs būtu savā daļā izdalīti, ja 17.daļā uzvar cits pretendents un 25.daļā cits, tāpēc tiem pretendentiem, kuri spēj nodrošināt kannu iepakojumus ir jābūt arī flakonu iepakojumiem. Daļu saglabāšana veicina konkurenci un nodrošina saimnieciski izdevīgāko rezultātu.</w:t>
      </w:r>
    </w:p>
    <w:p w14:paraId="412F6204" w14:textId="51CFF9A9" w:rsidR="00D552D5" w:rsidRPr="00FD61B6" w:rsidRDefault="00D552D5" w:rsidP="00D552D5">
      <w:pPr>
        <w:jc w:val="both"/>
        <w:rPr>
          <w:rFonts w:ascii="Times New Roman" w:hAnsi="Times New Roman" w:cs="Times New Roman"/>
          <w:sz w:val="24"/>
          <w:szCs w:val="24"/>
        </w:rPr>
      </w:pPr>
    </w:p>
    <w:p w14:paraId="32A9A9CD" w14:textId="42E31A24" w:rsidR="00D552D5" w:rsidRPr="00FD61B6" w:rsidRDefault="00D552D5" w:rsidP="00D552D5">
      <w:pPr>
        <w:jc w:val="both"/>
        <w:rPr>
          <w:rFonts w:ascii="Times New Roman" w:hAnsi="Times New Roman" w:cs="Times New Roman"/>
          <w:sz w:val="24"/>
          <w:szCs w:val="24"/>
        </w:rPr>
      </w:pPr>
      <w:r w:rsidRPr="00FD61B6">
        <w:rPr>
          <w:rFonts w:ascii="Times New Roman" w:hAnsi="Times New Roman" w:cs="Times New Roman"/>
          <w:sz w:val="24"/>
          <w:szCs w:val="24"/>
        </w:rPr>
        <w:t xml:space="preserve">Jautājums Nr.2 </w:t>
      </w:r>
    </w:p>
    <w:p w14:paraId="28217F45" w14:textId="77777777" w:rsidR="00D552D5" w:rsidRPr="00FD61B6" w:rsidRDefault="00D552D5" w:rsidP="00D552D5">
      <w:pPr>
        <w:pStyle w:val="Default"/>
        <w:jc w:val="both"/>
        <w:rPr>
          <w:color w:val="auto"/>
        </w:rPr>
      </w:pPr>
    </w:p>
    <w:p w14:paraId="50201840" w14:textId="77777777" w:rsidR="00D552D5" w:rsidRPr="00FD61B6" w:rsidRDefault="00D552D5" w:rsidP="00D552D5">
      <w:pPr>
        <w:pStyle w:val="Default"/>
        <w:spacing w:before="5"/>
        <w:ind w:left="14"/>
        <w:jc w:val="both"/>
        <w:rPr>
          <w:color w:val="auto"/>
        </w:rPr>
      </w:pPr>
      <w:r w:rsidRPr="00FD61B6">
        <w:rPr>
          <w:color w:val="auto"/>
        </w:rPr>
        <w:t xml:space="preserve"> Ja Jūs piekrītat, ka EN 13704 ir </w:t>
      </w:r>
      <w:proofErr w:type="spellStart"/>
      <w:r w:rsidRPr="00FD61B6">
        <w:rPr>
          <w:color w:val="auto"/>
        </w:rPr>
        <w:t>sporicīdās</w:t>
      </w:r>
      <w:proofErr w:type="spellEnd"/>
      <w:r w:rsidRPr="00FD61B6">
        <w:rPr>
          <w:color w:val="auto"/>
        </w:rPr>
        <w:t xml:space="preserve"> iedarbības suspensijas testa standarts, kas nav specifiski paredzēts medicīnas nozarei, savukārt EN 16615 neattiecas uz </w:t>
      </w:r>
      <w:proofErr w:type="spellStart"/>
      <w:r w:rsidRPr="00FD61B6">
        <w:rPr>
          <w:color w:val="auto"/>
        </w:rPr>
        <w:t>sporicīdās</w:t>
      </w:r>
      <w:proofErr w:type="spellEnd"/>
      <w:r w:rsidRPr="00FD61B6">
        <w:rPr>
          <w:color w:val="auto"/>
        </w:rPr>
        <w:t xml:space="preserve"> iedarbības novērtēšanu, lūdzu izņemt šīs prasības no tehniskās specifikācijas attiecībā uz </w:t>
      </w:r>
      <w:proofErr w:type="spellStart"/>
      <w:r w:rsidRPr="00FD61B6">
        <w:rPr>
          <w:color w:val="auto"/>
        </w:rPr>
        <w:t>sporicīdu</w:t>
      </w:r>
      <w:proofErr w:type="spellEnd"/>
      <w:r w:rsidRPr="00FD61B6">
        <w:rPr>
          <w:color w:val="auto"/>
        </w:rPr>
        <w:t xml:space="preserve"> iedarbību.</w:t>
      </w:r>
    </w:p>
    <w:p w14:paraId="7A4F28C9" w14:textId="77777777" w:rsidR="00D552D5" w:rsidRPr="00FD61B6" w:rsidRDefault="00D552D5" w:rsidP="00D552D5">
      <w:pPr>
        <w:pStyle w:val="Default"/>
        <w:spacing w:before="5"/>
        <w:ind w:left="14"/>
        <w:jc w:val="both"/>
        <w:rPr>
          <w:color w:val="auto"/>
        </w:rPr>
      </w:pPr>
      <w:r w:rsidRPr="00FD61B6">
        <w:rPr>
          <w:color w:val="auto"/>
        </w:rPr>
        <w:t xml:space="preserve">Par Jūsu rakstīto </w:t>
      </w:r>
      <w:r w:rsidRPr="00FD61B6">
        <w:rPr>
          <w:i/>
          <w:iCs/>
          <w:color w:val="auto"/>
        </w:rPr>
        <w:t xml:space="preserve">“Vienlaikus Pasūtītāja mērķis ir nodrošināt, ka piedāvātais dezinfekcijas līdzeklis apliecina </w:t>
      </w:r>
      <w:proofErr w:type="spellStart"/>
      <w:r w:rsidRPr="00FD61B6">
        <w:rPr>
          <w:i/>
          <w:iCs/>
          <w:color w:val="auto"/>
        </w:rPr>
        <w:t>sporicīdu</w:t>
      </w:r>
      <w:proofErr w:type="spellEnd"/>
      <w:r w:rsidRPr="00FD61B6">
        <w:rPr>
          <w:i/>
          <w:iCs/>
          <w:color w:val="auto"/>
        </w:rPr>
        <w:t xml:space="preserve"> iedarbību pret </w:t>
      </w:r>
      <w:proofErr w:type="spellStart"/>
      <w:r w:rsidRPr="00FD61B6">
        <w:rPr>
          <w:i/>
          <w:iCs/>
          <w:color w:val="auto"/>
        </w:rPr>
        <w:t>Clostridioides</w:t>
      </w:r>
      <w:proofErr w:type="spellEnd"/>
      <w:r w:rsidRPr="00FD61B6">
        <w:rPr>
          <w:i/>
          <w:iCs/>
          <w:color w:val="auto"/>
        </w:rPr>
        <w:t xml:space="preserve"> </w:t>
      </w:r>
      <w:proofErr w:type="spellStart"/>
      <w:r w:rsidRPr="00FD61B6">
        <w:rPr>
          <w:i/>
          <w:iCs/>
          <w:color w:val="auto"/>
        </w:rPr>
        <w:t>difficile</w:t>
      </w:r>
      <w:proofErr w:type="spellEnd"/>
      <w:r w:rsidRPr="00FD61B6">
        <w:rPr>
          <w:i/>
          <w:iCs/>
          <w:color w:val="auto"/>
        </w:rPr>
        <w:t xml:space="preserve"> sporām, nevis noteikt konkrētu testēšanas metodi, kas nepamatoti ierobežotu konkurenci.”</w:t>
      </w:r>
    </w:p>
    <w:p w14:paraId="49DCA98B" w14:textId="77777777" w:rsidR="00D552D5" w:rsidRPr="00FD61B6" w:rsidRDefault="00D552D5" w:rsidP="00D552D5">
      <w:pPr>
        <w:pStyle w:val="Default"/>
        <w:ind w:left="14"/>
        <w:jc w:val="both"/>
        <w:rPr>
          <w:color w:val="auto"/>
        </w:rPr>
      </w:pPr>
      <w:r w:rsidRPr="00FD61B6">
        <w:rPr>
          <w:color w:val="auto"/>
        </w:rPr>
        <w:t xml:space="preserve">Eksistē tāds EN 14885 Ķīmiskie dezinfekcijas un antiseptiskie līdzekļi. Eiropas standartu piemērošana ķīmiskajiem dezinfekcijas un antiseptiskajiem līdzekļiem. Tas ir tā saucamais "jumta standarts", kurš nosaka, ka virsmu dezinfekcijas līdzekļiem </w:t>
      </w:r>
      <w:r w:rsidRPr="00FD61B6">
        <w:rPr>
          <w:color w:val="auto"/>
        </w:rPr>
        <w:lastRenderedPageBreak/>
        <w:t xml:space="preserve">paredzēti gan </w:t>
      </w:r>
      <w:proofErr w:type="spellStart"/>
      <w:r w:rsidRPr="00FD61B6">
        <w:rPr>
          <w:color w:val="auto"/>
        </w:rPr>
        <w:t>Phase</w:t>
      </w:r>
      <w:proofErr w:type="spellEnd"/>
      <w:r w:rsidRPr="00FD61B6">
        <w:rPr>
          <w:color w:val="auto"/>
        </w:rPr>
        <w:t xml:space="preserve"> 2 Step 1, gan </w:t>
      </w:r>
      <w:proofErr w:type="spellStart"/>
      <w:r w:rsidRPr="00FD61B6">
        <w:rPr>
          <w:color w:val="auto"/>
        </w:rPr>
        <w:t>Phase</w:t>
      </w:r>
      <w:proofErr w:type="spellEnd"/>
      <w:r w:rsidRPr="00FD61B6">
        <w:rPr>
          <w:color w:val="auto"/>
        </w:rPr>
        <w:t xml:space="preserve"> 2 Step 2 testi. Nav pamata teikt, ka EN standartos apskatītas testa metodes nepamatoti ierobežotu konkurenci. Jo tādā gadījumā var teikt, ka jebkurš tehniskajā specifikācijā vai šajā sarakstē pieminētais standarts ir konkurenci ierobežojošs. </w:t>
      </w:r>
    </w:p>
    <w:p w14:paraId="64FFFB1A" w14:textId="77777777" w:rsidR="00D552D5" w:rsidRPr="00FD61B6" w:rsidRDefault="00D552D5" w:rsidP="00D552D5">
      <w:pPr>
        <w:jc w:val="both"/>
        <w:rPr>
          <w:rFonts w:ascii="Times New Roman" w:hAnsi="Times New Roman" w:cs="Times New Roman"/>
          <w:i/>
          <w:iCs/>
          <w:sz w:val="24"/>
          <w:szCs w:val="24"/>
        </w:rPr>
      </w:pPr>
      <w:r w:rsidRPr="00FD61B6">
        <w:rPr>
          <w:rFonts w:ascii="Times New Roman" w:hAnsi="Times New Roman" w:cs="Times New Roman"/>
          <w:sz w:val="24"/>
          <w:szCs w:val="24"/>
        </w:rPr>
        <w:t xml:space="preserve">Par Jūsu rakstīto </w:t>
      </w:r>
      <w:r w:rsidRPr="00FD61B6">
        <w:rPr>
          <w:rFonts w:ascii="Times New Roman" w:hAnsi="Times New Roman" w:cs="Times New Roman"/>
          <w:i/>
          <w:iCs/>
          <w:sz w:val="24"/>
          <w:szCs w:val="24"/>
        </w:rPr>
        <w:t>“Attiecībā uz priekšlikumu kā obligātu prasību iekļaut EN 17846 un EN 16777, Pasūtītājs tam nepiekrīt. Slimnīcā dezinfekcijas salvetes nav paredzētas virsmu mazgāšanai vai redzamu organisku netīrumu noņemšanai. Atbilstoši infekciju profilakses un kontroles principiem virsmas, kas ir redzami piesārņotas, pirms dezinfekcijas tiek mehāniski attīrītas. Līdz ar to Pasūtītāja vajadzībām ir būtiski pierādīt dezinfekcijas līdzekļa mikrobioloģisko efektivitāti, bet nav nepieciešams noteikt obligātu prasību pēc virsmas testa, kas vienlaikus novērtē mehāniskās noslaucīšanas efektu.”</w:t>
      </w:r>
    </w:p>
    <w:p w14:paraId="1D6EAD9F" w14:textId="4B511147" w:rsidR="00D552D5" w:rsidRPr="00FD61B6" w:rsidRDefault="00D552D5" w:rsidP="00D552D5">
      <w:pPr>
        <w:jc w:val="both"/>
        <w:rPr>
          <w:rFonts w:ascii="Times New Roman" w:hAnsi="Times New Roman" w:cs="Times New Roman"/>
          <w:sz w:val="24"/>
          <w:szCs w:val="24"/>
        </w:rPr>
      </w:pPr>
      <w:r w:rsidRPr="00FD61B6">
        <w:rPr>
          <w:rFonts w:ascii="Times New Roman" w:hAnsi="Times New Roman" w:cs="Times New Roman"/>
          <w:i/>
          <w:iCs/>
          <w:sz w:val="24"/>
          <w:szCs w:val="24"/>
        </w:rPr>
        <w:t>Mūsu ieskatā šo standartu mērķis nav novērtēt dezinfekcijas līdzekļa tīrīšanas spēju vai organisko netīrumu noņemšanu. EN 17846(</w:t>
      </w:r>
      <w:proofErr w:type="spellStart"/>
      <w:r w:rsidRPr="00FD61B6">
        <w:rPr>
          <w:rFonts w:ascii="Times New Roman" w:hAnsi="Times New Roman" w:cs="Times New Roman"/>
          <w:i/>
          <w:iCs/>
          <w:sz w:val="24"/>
          <w:szCs w:val="24"/>
        </w:rPr>
        <w:t>sporicīdās</w:t>
      </w:r>
      <w:proofErr w:type="spellEnd"/>
      <w:r w:rsidRPr="00FD61B6">
        <w:rPr>
          <w:rFonts w:ascii="Times New Roman" w:hAnsi="Times New Roman" w:cs="Times New Roman"/>
          <w:i/>
          <w:iCs/>
          <w:sz w:val="24"/>
          <w:szCs w:val="24"/>
        </w:rPr>
        <w:t xml:space="preserve"> aktivitātes novērtēšanai) un EN 16777 (</w:t>
      </w:r>
      <w:proofErr w:type="spellStart"/>
      <w:r w:rsidRPr="00FD61B6">
        <w:rPr>
          <w:rFonts w:ascii="Times New Roman" w:hAnsi="Times New Roman" w:cs="Times New Roman"/>
          <w:i/>
          <w:iCs/>
          <w:sz w:val="24"/>
          <w:szCs w:val="24"/>
        </w:rPr>
        <w:t>virucīdās</w:t>
      </w:r>
      <w:proofErr w:type="spellEnd"/>
      <w:r w:rsidRPr="00FD61B6">
        <w:rPr>
          <w:rFonts w:ascii="Times New Roman" w:hAnsi="Times New Roman" w:cs="Times New Roman"/>
          <w:i/>
          <w:iCs/>
          <w:sz w:val="24"/>
          <w:szCs w:val="24"/>
        </w:rPr>
        <w:t xml:space="preserve"> aktivitātes novērtēšanai) ir 2. fāzes, 2. soļa virsmas testi, kuru mērķis ir novērtēt dezinfekcijas līdzekļa efektivitāti uz neporainām virsmām praktiskiem lietošanas apstākļiem pietuvinātā testēšanas modelī.</w:t>
      </w:r>
    </w:p>
    <w:p w14:paraId="0A4F2647" w14:textId="77777777" w:rsidR="00D552D5" w:rsidRPr="00FD61B6" w:rsidRDefault="00D552D5" w:rsidP="00D552D5">
      <w:pPr>
        <w:pStyle w:val="Default"/>
        <w:spacing w:before="5"/>
        <w:ind w:left="14"/>
        <w:jc w:val="both"/>
        <w:rPr>
          <w:color w:val="auto"/>
        </w:rPr>
      </w:pPr>
      <w:r w:rsidRPr="00FD61B6">
        <w:rPr>
          <w:color w:val="auto"/>
        </w:rPr>
        <w:t>Tas, ka testa metodē paredzēta standartizēta mehāniska noslaucīšana, nenozīmē, ka tiek vērtēta virsmas mazgāšana vai organisko netīrumu noņemšana. Tieši pretēji — mehāniskā kustība ir neatņemama dezinfekcijas salvešu un impregnētu drānu lietošanas sastāvdaļa ikdienas praksē.</w:t>
      </w:r>
    </w:p>
    <w:p w14:paraId="197C184F" w14:textId="77777777" w:rsidR="00D552D5" w:rsidRPr="00FD61B6" w:rsidRDefault="00D552D5" w:rsidP="00D552D5">
      <w:pPr>
        <w:pStyle w:val="Default"/>
        <w:spacing w:before="5"/>
        <w:ind w:left="14"/>
        <w:jc w:val="both"/>
        <w:rPr>
          <w:color w:val="auto"/>
        </w:rPr>
      </w:pPr>
      <w:r w:rsidRPr="00FD61B6">
        <w:rPr>
          <w:color w:val="auto"/>
        </w:rPr>
        <w:t xml:space="preserve">Savukārt EN 17126 un EN 14476 (arī attiecīgi </w:t>
      </w:r>
      <w:proofErr w:type="spellStart"/>
      <w:r w:rsidRPr="00FD61B6">
        <w:rPr>
          <w:color w:val="auto"/>
        </w:rPr>
        <w:t>sporicīdās</w:t>
      </w:r>
      <w:proofErr w:type="spellEnd"/>
      <w:r w:rsidRPr="00FD61B6">
        <w:rPr>
          <w:color w:val="auto"/>
        </w:rPr>
        <w:t xml:space="preserve"> un </w:t>
      </w:r>
      <w:proofErr w:type="spellStart"/>
      <w:r w:rsidRPr="00FD61B6">
        <w:rPr>
          <w:color w:val="auto"/>
        </w:rPr>
        <w:t>virucīdās</w:t>
      </w:r>
      <w:proofErr w:type="spellEnd"/>
      <w:r w:rsidRPr="00FD61B6">
        <w:rPr>
          <w:color w:val="auto"/>
        </w:rPr>
        <w:t xml:space="preserve"> aktivitātes novērtēšanai) ir </w:t>
      </w:r>
      <w:r w:rsidRPr="00FD61B6">
        <w:rPr>
          <w:b/>
          <w:bCs/>
          <w:color w:val="auto"/>
        </w:rPr>
        <w:t>2. fāzes, 1. soļa suspensijas testi</w:t>
      </w:r>
      <w:r w:rsidRPr="00FD61B6">
        <w:rPr>
          <w:color w:val="auto"/>
        </w:rPr>
        <w:t>, kas apliecina mikrobioloģisko efektivitāti laboratorijas apstākļos, bet nenovērtē produkta darbību uz virsmām reālistiskos lietošanas apstākļos.</w:t>
      </w:r>
    </w:p>
    <w:p w14:paraId="18B6FDD5" w14:textId="48BD501D" w:rsidR="00D552D5" w:rsidRPr="00FD61B6" w:rsidRDefault="00D552D5" w:rsidP="00D552D5">
      <w:pPr>
        <w:jc w:val="both"/>
        <w:rPr>
          <w:rFonts w:ascii="Times New Roman" w:hAnsi="Times New Roman" w:cs="Times New Roman"/>
          <w:sz w:val="24"/>
          <w:szCs w:val="24"/>
        </w:rPr>
      </w:pPr>
      <w:r w:rsidRPr="00FD61B6">
        <w:rPr>
          <w:rFonts w:ascii="Times New Roman" w:hAnsi="Times New Roman" w:cs="Times New Roman"/>
          <w:sz w:val="24"/>
          <w:szCs w:val="24"/>
        </w:rPr>
        <w:t>Līdz ar to EN 17126 un EN 17846, kā arī EN 14476 un EN 16777 nav savstarpēji aizvietojoši standarti, bet gan papildina viens otru, izvērtējot produkta efektivitāti dažādos testēšanas līmeņos.</w:t>
      </w:r>
    </w:p>
    <w:p w14:paraId="35AE06DC" w14:textId="77777777" w:rsidR="00D552D5" w:rsidRPr="00FD61B6" w:rsidRDefault="00D552D5" w:rsidP="00D552D5">
      <w:pPr>
        <w:jc w:val="both"/>
        <w:rPr>
          <w:rFonts w:ascii="Times New Roman" w:hAnsi="Times New Roman" w:cs="Times New Roman"/>
          <w:sz w:val="24"/>
          <w:szCs w:val="24"/>
        </w:rPr>
      </w:pPr>
      <w:r w:rsidRPr="00FD61B6">
        <w:rPr>
          <w:rFonts w:ascii="Times New Roman" w:hAnsi="Times New Roman" w:cs="Times New Roman"/>
          <w:sz w:val="24"/>
          <w:szCs w:val="24"/>
        </w:rPr>
        <w:t xml:space="preserve">Ņemot vērā, ka iepirkuma priekšmets ir dezinfekcijas līdzekļi un dezinfekcijas salvetes medicīnisko virsmu apstrādei, lūdzam vēlreiz izvērtēt iespēju tehniskajā </w:t>
      </w:r>
      <w:proofErr w:type="spellStart"/>
      <w:r w:rsidRPr="00FD61B6">
        <w:rPr>
          <w:rFonts w:ascii="Times New Roman" w:hAnsi="Times New Roman" w:cs="Times New Roman"/>
          <w:sz w:val="24"/>
          <w:szCs w:val="24"/>
        </w:rPr>
        <w:t>specifikācijāiekļaut</w:t>
      </w:r>
      <w:proofErr w:type="spellEnd"/>
      <w:r w:rsidRPr="00FD61B6">
        <w:rPr>
          <w:rFonts w:ascii="Times New Roman" w:hAnsi="Times New Roman" w:cs="Times New Roman"/>
          <w:sz w:val="24"/>
          <w:szCs w:val="24"/>
        </w:rPr>
        <w:t xml:space="preserve"> arī EN 17846 un EN 16777, jo tie sniedz papildu pierādījumus par produkta efektivitāti tieši tādos lietošanas apstākļos, kādos tas tiek izmantots ārstniecības iestādēs.</w:t>
      </w:r>
    </w:p>
    <w:p w14:paraId="7049F8CB" w14:textId="77777777" w:rsidR="00D552D5" w:rsidRPr="00FD61B6" w:rsidRDefault="00D552D5" w:rsidP="00D552D5">
      <w:pPr>
        <w:jc w:val="both"/>
        <w:rPr>
          <w:rFonts w:ascii="Times New Roman" w:hAnsi="Times New Roman" w:cs="Times New Roman"/>
          <w:sz w:val="24"/>
          <w:szCs w:val="24"/>
        </w:rPr>
      </w:pPr>
      <w:r w:rsidRPr="00FD61B6">
        <w:rPr>
          <w:rFonts w:ascii="Times New Roman" w:hAnsi="Times New Roman" w:cs="Times New Roman"/>
          <w:sz w:val="24"/>
          <w:szCs w:val="24"/>
        </w:rPr>
        <w:t xml:space="preserve">Par Jūsu rakstīto “Tāpat Pasūtītājs neparedz kā obligātu prasību iekļaut EN 14476 un EN 16777, jo tehniskajā specifikācijā jau ir noteiktas prasības attiecībā uz </w:t>
      </w:r>
      <w:proofErr w:type="spellStart"/>
      <w:r w:rsidRPr="00FD61B6">
        <w:rPr>
          <w:rFonts w:ascii="Times New Roman" w:hAnsi="Times New Roman" w:cs="Times New Roman"/>
          <w:sz w:val="24"/>
          <w:szCs w:val="24"/>
        </w:rPr>
        <w:t>virucīdo</w:t>
      </w:r>
      <w:proofErr w:type="spellEnd"/>
      <w:r w:rsidRPr="00FD61B6">
        <w:rPr>
          <w:rFonts w:ascii="Times New Roman" w:hAnsi="Times New Roman" w:cs="Times New Roman"/>
          <w:sz w:val="24"/>
          <w:szCs w:val="24"/>
        </w:rPr>
        <w:t xml:space="preserve"> iedarbību pret konkrētiem klīniski nozīmīgiem vīrusiem. Papildu prasību noteikšana attiecībā uz konkrētām testēšanas metodēm nepamatoti sašaurinātu konkurenci, nesniedzot būtisku papildu ieguvumu Pasūtītāja vajadzībām”.</w:t>
      </w:r>
    </w:p>
    <w:p w14:paraId="5CBFD491" w14:textId="371C5472" w:rsidR="00D552D5" w:rsidRPr="00FD61B6" w:rsidRDefault="00D552D5" w:rsidP="00D552D5">
      <w:pPr>
        <w:jc w:val="both"/>
        <w:rPr>
          <w:rFonts w:ascii="Times New Roman" w:hAnsi="Times New Roman" w:cs="Times New Roman"/>
          <w:sz w:val="24"/>
          <w:szCs w:val="24"/>
        </w:rPr>
      </w:pPr>
      <w:r w:rsidRPr="00FD61B6">
        <w:rPr>
          <w:rFonts w:ascii="Times New Roman" w:hAnsi="Times New Roman" w:cs="Times New Roman"/>
          <w:sz w:val="24"/>
          <w:szCs w:val="24"/>
        </w:rPr>
        <w:t xml:space="preserve">EN 14476 neparedz papildu </w:t>
      </w:r>
      <w:proofErr w:type="spellStart"/>
      <w:r w:rsidRPr="00FD61B6">
        <w:rPr>
          <w:rFonts w:ascii="Times New Roman" w:hAnsi="Times New Roman" w:cs="Times New Roman"/>
          <w:sz w:val="24"/>
          <w:szCs w:val="24"/>
        </w:rPr>
        <w:t>virucīdās</w:t>
      </w:r>
      <w:proofErr w:type="spellEnd"/>
      <w:r w:rsidRPr="00FD61B6">
        <w:rPr>
          <w:rFonts w:ascii="Times New Roman" w:hAnsi="Times New Roman" w:cs="Times New Roman"/>
          <w:sz w:val="24"/>
          <w:szCs w:val="24"/>
        </w:rPr>
        <w:t xml:space="preserve"> iedarbības prasības, bet nosaka vienotu Eiropas testēšanas metodiku </w:t>
      </w:r>
      <w:proofErr w:type="spellStart"/>
      <w:r w:rsidRPr="00FD61B6">
        <w:rPr>
          <w:rFonts w:ascii="Times New Roman" w:hAnsi="Times New Roman" w:cs="Times New Roman"/>
          <w:sz w:val="24"/>
          <w:szCs w:val="24"/>
        </w:rPr>
        <w:t>virucīdās</w:t>
      </w:r>
      <w:proofErr w:type="spellEnd"/>
      <w:r w:rsidRPr="00FD61B6">
        <w:rPr>
          <w:rFonts w:ascii="Times New Roman" w:hAnsi="Times New Roman" w:cs="Times New Roman"/>
          <w:sz w:val="24"/>
          <w:szCs w:val="24"/>
        </w:rPr>
        <w:t xml:space="preserve"> efektivitātes pierādīšanai. Līdz ar to šī standarta iekļaušana nemaina prasīto iedarbības spektru, bet nodrošina, ka visu pretendentu piedāvātā </w:t>
      </w:r>
      <w:proofErr w:type="spellStart"/>
      <w:r w:rsidRPr="00FD61B6">
        <w:rPr>
          <w:rFonts w:ascii="Times New Roman" w:hAnsi="Times New Roman" w:cs="Times New Roman"/>
          <w:sz w:val="24"/>
          <w:szCs w:val="24"/>
        </w:rPr>
        <w:t>virucīdā</w:t>
      </w:r>
      <w:proofErr w:type="spellEnd"/>
      <w:r w:rsidRPr="00FD61B6">
        <w:rPr>
          <w:rFonts w:ascii="Times New Roman" w:hAnsi="Times New Roman" w:cs="Times New Roman"/>
          <w:sz w:val="24"/>
          <w:szCs w:val="24"/>
        </w:rPr>
        <w:t xml:space="preserve"> efektivitāte tiek novērtēta pēc vienādiem kritērijiem.</w:t>
      </w:r>
    </w:p>
    <w:p w14:paraId="54E06BFC" w14:textId="028E419D" w:rsidR="00D552D5" w:rsidRPr="00FD61B6" w:rsidRDefault="00D552D5" w:rsidP="00D552D5">
      <w:pPr>
        <w:jc w:val="both"/>
        <w:rPr>
          <w:rFonts w:ascii="Times New Roman" w:hAnsi="Times New Roman" w:cs="Times New Roman"/>
          <w:sz w:val="24"/>
          <w:szCs w:val="24"/>
        </w:rPr>
      </w:pPr>
      <w:r w:rsidRPr="00FD61B6">
        <w:rPr>
          <w:rFonts w:ascii="Times New Roman" w:hAnsi="Times New Roman" w:cs="Times New Roman"/>
          <w:sz w:val="24"/>
          <w:szCs w:val="24"/>
        </w:rPr>
        <w:t xml:space="preserve">Atbilde Nr. 2 </w:t>
      </w:r>
    </w:p>
    <w:p w14:paraId="2677DA23" w14:textId="52208AEE" w:rsidR="00D552D5" w:rsidRPr="00FD61B6" w:rsidRDefault="00D552D5" w:rsidP="00D552D5">
      <w:pPr>
        <w:jc w:val="both"/>
        <w:rPr>
          <w:rFonts w:ascii="Times New Roman" w:hAnsi="Times New Roman" w:cs="Times New Roman"/>
          <w:sz w:val="24"/>
          <w:szCs w:val="24"/>
        </w:rPr>
      </w:pPr>
      <w:r w:rsidRPr="00FD61B6">
        <w:rPr>
          <w:rFonts w:ascii="Times New Roman" w:hAnsi="Times New Roman" w:cs="Times New Roman"/>
          <w:sz w:val="24"/>
          <w:szCs w:val="24"/>
        </w:rPr>
        <w:lastRenderedPageBreak/>
        <w:t>Pasūtītāja mērķis ir pārliecināties par līdzekļa efektivitāti pret konkrētiem patogēniem, nepārslogojot pretendentus ar papildu virsmu testiem (EN 17846, EN 16777). Slimnīcas protokolos paredzēta virsmu mehāniska tīrīšana pirms dezinfekcijas. Papildu virsmas testu noteikšana kā obligāta sašaurinātu konkurenci un radītu nepamatotu finansiālu/administratīvu slogu, jo mikrobioloģisko efektivitāti jau droši pierāda suspensijas testi.</w:t>
      </w:r>
    </w:p>
    <w:p w14:paraId="457EB057" w14:textId="044FE727" w:rsidR="00D552D5" w:rsidRPr="00FD61B6" w:rsidRDefault="00D552D5" w:rsidP="00D552D5">
      <w:pPr>
        <w:jc w:val="both"/>
        <w:rPr>
          <w:rFonts w:ascii="Times New Roman" w:hAnsi="Times New Roman" w:cs="Times New Roman"/>
          <w:sz w:val="24"/>
          <w:szCs w:val="24"/>
        </w:rPr>
      </w:pPr>
      <w:r w:rsidRPr="00FD61B6">
        <w:rPr>
          <w:rFonts w:ascii="Times New Roman" w:hAnsi="Times New Roman" w:cs="Times New Roman"/>
          <w:sz w:val="24"/>
          <w:szCs w:val="24"/>
        </w:rPr>
        <w:t xml:space="preserve">Jautājums Nr.3 </w:t>
      </w:r>
    </w:p>
    <w:p w14:paraId="2E390A42" w14:textId="77777777" w:rsidR="00D552D5" w:rsidRPr="00FD61B6" w:rsidRDefault="00D552D5" w:rsidP="00D552D5">
      <w:pPr>
        <w:pStyle w:val="Default"/>
        <w:spacing w:before="3"/>
        <w:ind w:left="14"/>
        <w:jc w:val="both"/>
        <w:rPr>
          <w:color w:val="auto"/>
        </w:rPr>
      </w:pPr>
      <w:r w:rsidRPr="00FD61B6">
        <w:rPr>
          <w:color w:val="auto"/>
        </w:rPr>
        <w:t xml:space="preserve">Lūdzam paskaidrot, kādēļ Pasūtītājs attiecībā uz baktericīdo, </w:t>
      </w:r>
      <w:proofErr w:type="spellStart"/>
      <w:r w:rsidRPr="00FD61B6">
        <w:rPr>
          <w:color w:val="auto"/>
        </w:rPr>
        <w:t>levurocīdo</w:t>
      </w:r>
      <w:proofErr w:type="spellEnd"/>
      <w:r w:rsidRPr="00FD61B6">
        <w:rPr>
          <w:color w:val="auto"/>
        </w:rPr>
        <w:t xml:space="preserve">, </w:t>
      </w:r>
      <w:proofErr w:type="spellStart"/>
      <w:r w:rsidRPr="00FD61B6">
        <w:rPr>
          <w:color w:val="auto"/>
        </w:rPr>
        <w:t>mikobaktericīdo</w:t>
      </w:r>
      <w:proofErr w:type="spellEnd"/>
      <w:r w:rsidRPr="00FD61B6">
        <w:rPr>
          <w:color w:val="auto"/>
        </w:rPr>
        <w:t xml:space="preserve"> un </w:t>
      </w:r>
      <w:proofErr w:type="spellStart"/>
      <w:r w:rsidRPr="00FD61B6">
        <w:rPr>
          <w:color w:val="auto"/>
        </w:rPr>
        <w:t>sporicīdo</w:t>
      </w:r>
      <w:proofErr w:type="spellEnd"/>
      <w:r w:rsidRPr="00FD61B6">
        <w:rPr>
          <w:color w:val="auto"/>
        </w:rPr>
        <w:t xml:space="preserve"> iedarbību pieprasa atbilstību konkrētiem Eiropas standartiem (EN 13727, EN 13624, EN 14348, EN 17126), savukārt attiecībā uz </w:t>
      </w:r>
      <w:proofErr w:type="spellStart"/>
      <w:r w:rsidRPr="00FD61B6">
        <w:rPr>
          <w:color w:val="auto"/>
        </w:rPr>
        <w:t>virucīdo</w:t>
      </w:r>
      <w:proofErr w:type="spellEnd"/>
      <w:r w:rsidRPr="00FD61B6">
        <w:rPr>
          <w:color w:val="auto"/>
        </w:rPr>
        <w:t xml:space="preserve"> iedarbību nav noteikta prasība pēc atbilstošiem Eiropas standartiem (EN 14476, EN 16777).</w:t>
      </w:r>
    </w:p>
    <w:p w14:paraId="28F6E884" w14:textId="2C7A2B33" w:rsidR="00D552D5" w:rsidRPr="00FD61B6" w:rsidRDefault="00D552D5" w:rsidP="00D552D5">
      <w:pPr>
        <w:jc w:val="both"/>
        <w:rPr>
          <w:rFonts w:ascii="Times New Roman" w:hAnsi="Times New Roman" w:cs="Times New Roman"/>
          <w:sz w:val="24"/>
          <w:szCs w:val="24"/>
        </w:rPr>
      </w:pPr>
      <w:r w:rsidRPr="00FD61B6">
        <w:rPr>
          <w:rFonts w:ascii="Times New Roman" w:hAnsi="Times New Roman" w:cs="Times New Roman"/>
          <w:sz w:val="24"/>
          <w:szCs w:val="24"/>
        </w:rPr>
        <w:t xml:space="preserve">Lūdzam paskaidrot, kā tiks nodrošināta vienlīdzīga un objektīva piedāvājumu salīdzināšana, ja tehniskajā specifikācijā nav noteikta vienota Eiropas testēšanas metodika </w:t>
      </w:r>
      <w:proofErr w:type="spellStart"/>
      <w:r w:rsidRPr="00FD61B6">
        <w:rPr>
          <w:rFonts w:ascii="Times New Roman" w:hAnsi="Times New Roman" w:cs="Times New Roman"/>
          <w:sz w:val="24"/>
          <w:szCs w:val="24"/>
        </w:rPr>
        <w:t>virucīdās</w:t>
      </w:r>
      <w:proofErr w:type="spellEnd"/>
      <w:r w:rsidRPr="00FD61B6">
        <w:rPr>
          <w:rFonts w:ascii="Times New Roman" w:hAnsi="Times New Roman" w:cs="Times New Roman"/>
          <w:sz w:val="24"/>
          <w:szCs w:val="24"/>
        </w:rPr>
        <w:t xml:space="preserve"> iedarbības pierādīšanai. Vai par pietiekamu tiks uzskatīti arī testi, kas veikti saskaņā ar citām metodikām, piemēram, ASTM, AOAC, GOST vai citiem nacionālajiem standartiem? Ja nē, lūdzam norādīt, pēc kāda Eiropas standarta </w:t>
      </w:r>
      <w:proofErr w:type="spellStart"/>
      <w:r w:rsidRPr="00FD61B6">
        <w:rPr>
          <w:rFonts w:ascii="Times New Roman" w:hAnsi="Times New Roman" w:cs="Times New Roman"/>
          <w:sz w:val="24"/>
          <w:szCs w:val="24"/>
        </w:rPr>
        <w:t>virucīdā</w:t>
      </w:r>
      <w:proofErr w:type="spellEnd"/>
      <w:r w:rsidRPr="00FD61B6">
        <w:rPr>
          <w:rFonts w:ascii="Times New Roman" w:hAnsi="Times New Roman" w:cs="Times New Roman"/>
          <w:sz w:val="24"/>
          <w:szCs w:val="24"/>
        </w:rPr>
        <w:t xml:space="preserve"> iedarbība ir jāpierāda.</w:t>
      </w:r>
    </w:p>
    <w:p w14:paraId="65D805E9" w14:textId="2B67B94D" w:rsidR="00D552D5" w:rsidRPr="00FD61B6" w:rsidRDefault="00D552D5" w:rsidP="00D552D5">
      <w:pPr>
        <w:jc w:val="both"/>
        <w:rPr>
          <w:rFonts w:ascii="Times New Roman" w:hAnsi="Times New Roman" w:cs="Times New Roman"/>
          <w:sz w:val="24"/>
          <w:szCs w:val="24"/>
        </w:rPr>
      </w:pPr>
    </w:p>
    <w:p w14:paraId="453C89E7" w14:textId="601C8484" w:rsidR="00D552D5" w:rsidRPr="00FD61B6" w:rsidRDefault="00D552D5" w:rsidP="00D552D5">
      <w:pPr>
        <w:jc w:val="both"/>
        <w:rPr>
          <w:rFonts w:ascii="Times New Roman" w:hAnsi="Times New Roman" w:cs="Times New Roman"/>
          <w:sz w:val="24"/>
          <w:szCs w:val="24"/>
        </w:rPr>
      </w:pPr>
      <w:r w:rsidRPr="00FD61B6">
        <w:rPr>
          <w:rFonts w:ascii="Times New Roman" w:hAnsi="Times New Roman" w:cs="Times New Roman"/>
          <w:sz w:val="24"/>
          <w:szCs w:val="24"/>
        </w:rPr>
        <w:t>Atbilde Nr.</w:t>
      </w:r>
      <w:r w:rsidR="00BA2396" w:rsidRPr="00FD61B6">
        <w:rPr>
          <w:rFonts w:ascii="Times New Roman" w:hAnsi="Times New Roman" w:cs="Times New Roman"/>
          <w:sz w:val="24"/>
          <w:szCs w:val="24"/>
        </w:rPr>
        <w:t>3</w:t>
      </w:r>
      <w:r w:rsidRPr="00FD61B6">
        <w:rPr>
          <w:rFonts w:ascii="Times New Roman" w:hAnsi="Times New Roman" w:cs="Times New Roman"/>
          <w:sz w:val="24"/>
          <w:szCs w:val="24"/>
        </w:rPr>
        <w:t xml:space="preserve"> </w:t>
      </w:r>
    </w:p>
    <w:p w14:paraId="0A27CC05" w14:textId="4631BE35" w:rsidR="00D552D5" w:rsidRPr="00FD61B6" w:rsidRDefault="00D552D5" w:rsidP="00D552D5">
      <w:pPr>
        <w:jc w:val="both"/>
        <w:rPr>
          <w:rFonts w:ascii="Times New Roman" w:hAnsi="Times New Roman" w:cs="Times New Roman"/>
          <w:sz w:val="24"/>
          <w:szCs w:val="24"/>
        </w:rPr>
      </w:pPr>
      <w:r w:rsidRPr="00FD61B6">
        <w:rPr>
          <w:rFonts w:ascii="Times New Roman" w:hAnsi="Times New Roman" w:cs="Times New Roman"/>
          <w:sz w:val="24"/>
          <w:szCs w:val="24"/>
        </w:rPr>
        <w:t>Pasūtītājs ir skaidri noteicis prasīto iedarbības spektru un efektivitāti. Lai nodrošinātu objektīvu vērtēšanu, tiks vērtēti akreditētu laboratoriju pārskati, kas veikti saskaņā ar Eiropas standartiem (piem., EN 14476, EN 16777) vai citām starptautiski atzītām un līdzvērtīgām metodikām, kas sniedz zinātniski pamatotu pierādījumu par atbilstību.</w:t>
      </w:r>
    </w:p>
    <w:p w14:paraId="7DBCB858" w14:textId="5124977D" w:rsidR="00D552D5" w:rsidRPr="00FD61B6" w:rsidRDefault="00D552D5" w:rsidP="00D552D5">
      <w:pPr>
        <w:jc w:val="both"/>
        <w:rPr>
          <w:rFonts w:ascii="Times New Roman" w:hAnsi="Times New Roman" w:cs="Times New Roman"/>
          <w:sz w:val="24"/>
          <w:szCs w:val="24"/>
        </w:rPr>
      </w:pPr>
      <w:r w:rsidRPr="00FD61B6">
        <w:rPr>
          <w:rFonts w:ascii="Times New Roman" w:hAnsi="Times New Roman" w:cs="Times New Roman"/>
          <w:sz w:val="24"/>
          <w:szCs w:val="24"/>
        </w:rPr>
        <w:t>Jautājums Nr.</w:t>
      </w:r>
      <w:r w:rsidR="00BA2396" w:rsidRPr="00FD61B6">
        <w:rPr>
          <w:rFonts w:ascii="Times New Roman" w:hAnsi="Times New Roman" w:cs="Times New Roman"/>
          <w:sz w:val="24"/>
          <w:szCs w:val="24"/>
        </w:rPr>
        <w:t>4</w:t>
      </w:r>
      <w:r w:rsidRPr="00FD61B6">
        <w:rPr>
          <w:rFonts w:ascii="Times New Roman" w:hAnsi="Times New Roman" w:cs="Times New Roman"/>
          <w:sz w:val="24"/>
          <w:szCs w:val="24"/>
        </w:rPr>
        <w:t xml:space="preserve"> </w:t>
      </w:r>
    </w:p>
    <w:p w14:paraId="596D3963" w14:textId="77777777" w:rsidR="00D552D5" w:rsidRPr="00FD61B6" w:rsidRDefault="00D552D5" w:rsidP="00D552D5">
      <w:pPr>
        <w:pStyle w:val="Default"/>
        <w:spacing w:before="3"/>
        <w:ind w:left="14"/>
        <w:jc w:val="both"/>
        <w:rPr>
          <w:color w:val="auto"/>
        </w:rPr>
      </w:pPr>
      <w:r w:rsidRPr="00FD61B6">
        <w:rPr>
          <w:color w:val="auto"/>
        </w:rPr>
        <w:t>Ņemot vērā Jūsu norādīto mērķi iegādāties vienu dezinfekcijas līdzekli, kas piemērots gan medicīnisko ierīču, gan citu veselības aprūpes vidē esošu virsmu un aprīkojuma dezinfekcijai, lūdzam precizēt normatīvo prasību piemērošanu.</w:t>
      </w:r>
    </w:p>
    <w:p w14:paraId="4E3F68C7" w14:textId="77777777" w:rsidR="00D552D5" w:rsidRPr="00FD61B6" w:rsidRDefault="00D552D5" w:rsidP="00D552D5">
      <w:pPr>
        <w:pStyle w:val="Default"/>
        <w:spacing w:before="3"/>
        <w:ind w:left="14"/>
        <w:jc w:val="both"/>
        <w:rPr>
          <w:color w:val="auto"/>
        </w:rPr>
      </w:pPr>
      <w:r w:rsidRPr="00FD61B6">
        <w:rPr>
          <w:color w:val="auto"/>
        </w:rPr>
        <w:t>MDR (Regula (ES) 2017/745) un BPR (Regula (ES) Nr. 528/2012) piemērošana ir atkarīga no produkta ražotāja noteiktā paredzētā lietojuma un produkta juridiskā statusa, nevis tikai no tā, ka produkts tiek izmantots ārstniecības iestādē.</w:t>
      </w:r>
    </w:p>
    <w:p w14:paraId="71A374A7" w14:textId="77777777" w:rsidR="00D552D5" w:rsidRPr="00FD61B6" w:rsidRDefault="00D552D5" w:rsidP="00D552D5">
      <w:pPr>
        <w:pStyle w:val="Default"/>
        <w:spacing w:before="3"/>
        <w:ind w:left="14"/>
        <w:jc w:val="both"/>
        <w:rPr>
          <w:color w:val="auto"/>
        </w:rPr>
      </w:pPr>
      <w:r w:rsidRPr="00FD61B6">
        <w:rPr>
          <w:color w:val="auto"/>
        </w:rPr>
        <w:t xml:space="preserve">Produkti, kas ir īpaši paredzēti medicīnisko ierīču tīrīšanai, dezinfekcijai vai sterilizācijai, noteiktos gadījumos ietilpst MDR tvērumā un tiek marķēti ar CE zīmi. Savukārt dezinfekcijas līdzekļi, kas paredzēti veselības aprūpes vidē esošu virsmu un aprīkojuma dezinfekcijai un neietilpst MDR tvērumā, ir regulējami saskaņā ar BPR un, attiecīgā gadījumā, autorizējami kā </w:t>
      </w:r>
      <w:proofErr w:type="spellStart"/>
      <w:r w:rsidRPr="00FD61B6">
        <w:rPr>
          <w:color w:val="auto"/>
        </w:rPr>
        <w:t>biocīdie</w:t>
      </w:r>
      <w:proofErr w:type="spellEnd"/>
      <w:r w:rsidRPr="00FD61B6">
        <w:rPr>
          <w:color w:val="auto"/>
        </w:rPr>
        <w:t xml:space="preserve"> produkti.</w:t>
      </w:r>
    </w:p>
    <w:p w14:paraId="26BF2D1F" w14:textId="77777777" w:rsidR="00D552D5" w:rsidRPr="00FD61B6" w:rsidRDefault="00D552D5" w:rsidP="00D552D5">
      <w:pPr>
        <w:pStyle w:val="Default"/>
        <w:spacing w:before="3"/>
        <w:jc w:val="both"/>
        <w:rPr>
          <w:color w:val="auto"/>
        </w:rPr>
      </w:pPr>
      <w:r w:rsidRPr="00FD61B6">
        <w:rPr>
          <w:color w:val="auto"/>
        </w:rPr>
        <w:t>Tādēļ lūdzam precizēt:</w:t>
      </w:r>
    </w:p>
    <w:p w14:paraId="51AE1423" w14:textId="35760733" w:rsidR="00D552D5" w:rsidRPr="00FD61B6" w:rsidRDefault="00D552D5" w:rsidP="00D552D5">
      <w:pPr>
        <w:jc w:val="both"/>
        <w:rPr>
          <w:rFonts w:ascii="Times New Roman" w:hAnsi="Times New Roman" w:cs="Times New Roman"/>
          <w:sz w:val="24"/>
          <w:szCs w:val="24"/>
        </w:rPr>
      </w:pPr>
      <w:r w:rsidRPr="00FD61B6">
        <w:rPr>
          <w:rFonts w:ascii="Times New Roman" w:hAnsi="Times New Roman" w:cs="Times New Roman"/>
          <w:sz w:val="24"/>
          <w:szCs w:val="24"/>
        </w:rPr>
        <w:t xml:space="preserve"> Vai Pasūtītājs pieprasa, lai piedāvātais dezinfekcijas līdzeklis pats būtu MDR izpratnē medicīniskā ierīce, kas īpaši paredzēta medicīnisko ierīču dezinfekcijai un kurai nepieciešams CE marķējums?</w:t>
      </w:r>
    </w:p>
    <w:p w14:paraId="03469195" w14:textId="77777777" w:rsidR="00D552D5" w:rsidRPr="00FD61B6" w:rsidRDefault="00D552D5" w:rsidP="00D552D5">
      <w:pPr>
        <w:pStyle w:val="Default"/>
        <w:ind w:left="14"/>
        <w:jc w:val="both"/>
        <w:rPr>
          <w:color w:val="auto"/>
        </w:rPr>
      </w:pPr>
      <w:r w:rsidRPr="00FD61B6">
        <w:rPr>
          <w:color w:val="auto"/>
        </w:rPr>
        <w:t>2. Vai arī Pasūtītāja faktiskā prasība ir viens dezinfekcijas līdzeklis, kas piemērots gan medicīnisko ierīču, gan citu veselības aprūpes vidē esošu virsmu un aprīkojuma dezinfekcijai, neatkarīgi no tā, vai tas normatīvi klasificējams kā medicīniskā ierīce vai biocīds?</w:t>
      </w:r>
    </w:p>
    <w:p w14:paraId="454BA1B9" w14:textId="77777777" w:rsidR="00D552D5" w:rsidRPr="00FD61B6" w:rsidRDefault="00D552D5" w:rsidP="00D552D5">
      <w:pPr>
        <w:pStyle w:val="Default"/>
        <w:spacing w:before="3"/>
        <w:ind w:left="14"/>
        <w:jc w:val="both"/>
        <w:rPr>
          <w:color w:val="auto"/>
        </w:rPr>
      </w:pPr>
      <w:r w:rsidRPr="00FD61B6">
        <w:rPr>
          <w:color w:val="auto"/>
        </w:rPr>
        <w:lastRenderedPageBreak/>
        <w:t>Ja ir paredzēts otrais variants, lūdzam paskaidrot, kādēļ iepirkumā būtu izslēdzams BPR prasībām atbilstoši autorizēts biocīds, kura paredzētais lietojums ietver prasīto veselības aprūpes virsmu un aprīkojuma dezinfekciju.</w:t>
      </w:r>
    </w:p>
    <w:p w14:paraId="01881094" w14:textId="77777777" w:rsidR="00D552D5" w:rsidRPr="00FD61B6" w:rsidRDefault="00D552D5" w:rsidP="00D552D5">
      <w:pPr>
        <w:pStyle w:val="Default"/>
        <w:spacing w:before="3"/>
        <w:ind w:left="14"/>
        <w:jc w:val="both"/>
        <w:rPr>
          <w:color w:val="auto"/>
        </w:rPr>
      </w:pPr>
      <w:r w:rsidRPr="00FD61B6">
        <w:rPr>
          <w:color w:val="auto"/>
        </w:rPr>
        <w:t>Mūsuprāt, BPR autorizācija nav alternatīvs vai "zemāks" atbilstības apliecinājums MDR CE marķējumam. Tie ir divi atšķirīgi ES regulējuma režīmi, kas piemērojami atkarībā no konkrētā produkta juridiskā statusa un paredzētā lietojuma.</w:t>
      </w:r>
    </w:p>
    <w:p w14:paraId="0BFF071F" w14:textId="39D55FD4" w:rsidR="00D552D5" w:rsidRPr="00FD61B6" w:rsidRDefault="00D552D5" w:rsidP="00D552D5">
      <w:pPr>
        <w:jc w:val="both"/>
        <w:rPr>
          <w:rFonts w:ascii="Times New Roman" w:hAnsi="Times New Roman" w:cs="Times New Roman"/>
          <w:sz w:val="24"/>
          <w:szCs w:val="24"/>
        </w:rPr>
      </w:pPr>
      <w:r w:rsidRPr="00FD61B6">
        <w:rPr>
          <w:rFonts w:ascii="Times New Roman" w:hAnsi="Times New Roman" w:cs="Times New Roman"/>
          <w:sz w:val="24"/>
          <w:szCs w:val="24"/>
        </w:rPr>
        <w:t>Tādēļ lūdzam vai nu apstiprināt, ka iepirkumā ir pieļaujami arī atbilstoši autorizēti BPR biocīdi, vai norādīt konkrētu normatīvo un tehnisko pamatojumu, kādēļ Pasūtītājs pieprasa tieši MDR medicīnisko ierīci un izslēdz BPR regulējumam atbilstošus produktus.</w:t>
      </w:r>
    </w:p>
    <w:p w14:paraId="49CA2527" w14:textId="0BA60D9A" w:rsidR="00D552D5" w:rsidRPr="00FD61B6" w:rsidRDefault="00D552D5" w:rsidP="00D552D5">
      <w:pPr>
        <w:jc w:val="both"/>
        <w:rPr>
          <w:rFonts w:ascii="Times New Roman" w:hAnsi="Times New Roman" w:cs="Times New Roman"/>
          <w:sz w:val="24"/>
          <w:szCs w:val="24"/>
        </w:rPr>
      </w:pPr>
      <w:r w:rsidRPr="00FD61B6">
        <w:rPr>
          <w:rFonts w:ascii="Times New Roman" w:hAnsi="Times New Roman" w:cs="Times New Roman"/>
          <w:sz w:val="24"/>
          <w:szCs w:val="24"/>
        </w:rPr>
        <w:t>Atbilde Nr.</w:t>
      </w:r>
      <w:r w:rsidR="00BA2396" w:rsidRPr="00FD61B6">
        <w:rPr>
          <w:rFonts w:ascii="Times New Roman" w:hAnsi="Times New Roman" w:cs="Times New Roman"/>
          <w:sz w:val="24"/>
          <w:szCs w:val="24"/>
        </w:rPr>
        <w:t>4</w:t>
      </w:r>
      <w:r w:rsidRPr="00FD61B6">
        <w:rPr>
          <w:rFonts w:ascii="Times New Roman" w:hAnsi="Times New Roman" w:cs="Times New Roman"/>
          <w:sz w:val="24"/>
          <w:szCs w:val="24"/>
        </w:rPr>
        <w:t xml:space="preserve">  </w:t>
      </w:r>
    </w:p>
    <w:p w14:paraId="364F8149" w14:textId="69D9510C" w:rsidR="00D552D5" w:rsidRPr="00FD61B6" w:rsidRDefault="00D552D5" w:rsidP="00D552D5">
      <w:pPr>
        <w:jc w:val="both"/>
        <w:rPr>
          <w:rFonts w:ascii="Times New Roman" w:hAnsi="Times New Roman" w:cs="Times New Roman"/>
          <w:sz w:val="24"/>
          <w:szCs w:val="24"/>
        </w:rPr>
      </w:pPr>
      <w:r w:rsidRPr="00FD61B6">
        <w:rPr>
          <w:rFonts w:ascii="Times New Roman" w:hAnsi="Times New Roman" w:cs="Times New Roman"/>
          <w:sz w:val="24"/>
          <w:szCs w:val="24"/>
        </w:rPr>
        <w:t xml:space="preserve">Pasūtītāja specifiskā vajadzība ir iegādāties līdzekli tieši </w:t>
      </w:r>
      <w:r w:rsidRPr="00FD61B6">
        <w:rPr>
          <w:rFonts w:ascii="Times New Roman" w:hAnsi="Times New Roman" w:cs="Times New Roman"/>
          <w:i/>
          <w:iCs/>
          <w:sz w:val="24"/>
          <w:szCs w:val="24"/>
        </w:rPr>
        <w:t>medicīnisko ierīču</w:t>
      </w:r>
      <w:r w:rsidRPr="00FD61B6">
        <w:rPr>
          <w:rFonts w:ascii="Times New Roman" w:hAnsi="Times New Roman" w:cs="Times New Roman"/>
          <w:sz w:val="24"/>
          <w:szCs w:val="24"/>
        </w:rPr>
        <w:t xml:space="preserve"> dezinfekcijai. ES tiesiskais regulējums nosaka, ka produktiem, kas paredzēti medicīnisko ierīču dezinfekcijai, obligāti jāatbilst MDR (Regula 2017/745) un jābūt CE marķējumam. </w:t>
      </w:r>
      <w:proofErr w:type="spellStart"/>
      <w:r w:rsidRPr="00FD61B6">
        <w:rPr>
          <w:rFonts w:ascii="Times New Roman" w:hAnsi="Times New Roman" w:cs="Times New Roman"/>
          <w:sz w:val="24"/>
          <w:szCs w:val="24"/>
        </w:rPr>
        <w:t>Biocīdie</w:t>
      </w:r>
      <w:proofErr w:type="spellEnd"/>
      <w:r w:rsidRPr="00FD61B6">
        <w:rPr>
          <w:rFonts w:ascii="Times New Roman" w:hAnsi="Times New Roman" w:cs="Times New Roman"/>
          <w:sz w:val="24"/>
          <w:szCs w:val="24"/>
        </w:rPr>
        <w:t xml:space="preserve"> līdzekļi (BPR) ir paredzēti vispārējām vides virsmām un neaizstāj medicīnisko ierīču saderības un drošības prasības.</w:t>
      </w:r>
    </w:p>
    <w:p w14:paraId="51071DB0" w14:textId="36A260C7" w:rsidR="00944ED3" w:rsidRPr="00FD61B6" w:rsidRDefault="00944ED3" w:rsidP="00D552D5">
      <w:pPr>
        <w:jc w:val="both"/>
        <w:rPr>
          <w:rFonts w:ascii="Times New Roman" w:hAnsi="Times New Roman" w:cs="Times New Roman"/>
          <w:sz w:val="24"/>
          <w:szCs w:val="24"/>
        </w:rPr>
      </w:pPr>
      <w:r w:rsidRPr="00FD61B6">
        <w:rPr>
          <w:rFonts w:ascii="Times New Roman" w:hAnsi="Times New Roman" w:cs="Times New Roman"/>
          <w:sz w:val="24"/>
          <w:szCs w:val="24"/>
        </w:rPr>
        <w:t xml:space="preserve">Jautājums Nr. </w:t>
      </w:r>
      <w:r w:rsidR="00BA2396" w:rsidRPr="00FD61B6">
        <w:rPr>
          <w:rFonts w:ascii="Times New Roman" w:hAnsi="Times New Roman" w:cs="Times New Roman"/>
          <w:sz w:val="24"/>
          <w:szCs w:val="24"/>
        </w:rPr>
        <w:t>5</w:t>
      </w:r>
      <w:r w:rsidRPr="00FD61B6">
        <w:rPr>
          <w:rFonts w:ascii="Times New Roman" w:hAnsi="Times New Roman" w:cs="Times New Roman"/>
          <w:sz w:val="24"/>
          <w:szCs w:val="24"/>
        </w:rPr>
        <w:t xml:space="preserve"> </w:t>
      </w:r>
    </w:p>
    <w:p w14:paraId="6B7F821D" w14:textId="77777777" w:rsidR="00944ED3" w:rsidRPr="00FD61B6" w:rsidRDefault="00944ED3" w:rsidP="00944ED3">
      <w:pPr>
        <w:jc w:val="both"/>
        <w:rPr>
          <w:rFonts w:ascii="Times New Roman" w:hAnsi="Times New Roman" w:cs="Times New Roman"/>
          <w:sz w:val="24"/>
          <w:szCs w:val="24"/>
        </w:rPr>
      </w:pPr>
      <w:r w:rsidRPr="00FD61B6">
        <w:rPr>
          <w:rFonts w:ascii="Times New Roman" w:hAnsi="Times New Roman" w:cs="Times New Roman"/>
          <w:sz w:val="24"/>
          <w:szCs w:val="24"/>
        </w:rPr>
        <w:t>Tehniskās specifikācijas 11.6. punktā noteikta prasība:</w:t>
      </w:r>
    </w:p>
    <w:p w14:paraId="15AF86E7" w14:textId="77777777" w:rsidR="00944ED3" w:rsidRPr="00FD61B6" w:rsidRDefault="00944ED3" w:rsidP="00944ED3">
      <w:pPr>
        <w:jc w:val="both"/>
        <w:rPr>
          <w:rFonts w:ascii="Times New Roman" w:hAnsi="Times New Roman" w:cs="Times New Roman"/>
          <w:sz w:val="24"/>
          <w:szCs w:val="24"/>
        </w:rPr>
      </w:pPr>
      <w:r w:rsidRPr="00FD61B6">
        <w:rPr>
          <w:rFonts w:ascii="Times New Roman" w:hAnsi="Times New Roman" w:cs="Times New Roman"/>
          <w:sz w:val="24"/>
          <w:szCs w:val="24"/>
        </w:rPr>
        <w:t xml:space="preserve">“Baktericīda EN 13697 (ieskaitot tuberkulozi), pretvīrusu (ieskaitot HBV, HCV, HIV, </w:t>
      </w:r>
      <w:proofErr w:type="spellStart"/>
      <w:r w:rsidRPr="00FD61B6">
        <w:rPr>
          <w:rFonts w:ascii="Times New Roman" w:hAnsi="Times New Roman" w:cs="Times New Roman"/>
          <w:sz w:val="24"/>
          <w:szCs w:val="24"/>
        </w:rPr>
        <w:t>norovīrusu</w:t>
      </w:r>
      <w:proofErr w:type="spellEnd"/>
      <w:r w:rsidRPr="00FD61B6">
        <w:rPr>
          <w:rFonts w:ascii="Times New Roman" w:hAnsi="Times New Roman" w:cs="Times New Roman"/>
          <w:sz w:val="24"/>
          <w:szCs w:val="24"/>
        </w:rPr>
        <w:t xml:space="preserve">, </w:t>
      </w:r>
      <w:proofErr w:type="spellStart"/>
      <w:r w:rsidRPr="00FD61B6">
        <w:rPr>
          <w:rFonts w:ascii="Times New Roman" w:hAnsi="Times New Roman" w:cs="Times New Roman"/>
          <w:sz w:val="24"/>
          <w:szCs w:val="24"/>
        </w:rPr>
        <w:t>herpes</w:t>
      </w:r>
      <w:proofErr w:type="spellEnd"/>
      <w:r w:rsidRPr="00FD61B6">
        <w:rPr>
          <w:rFonts w:ascii="Times New Roman" w:hAnsi="Times New Roman" w:cs="Times New Roman"/>
          <w:sz w:val="24"/>
          <w:szCs w:val="24"/>
        </w:rPr>
        <w:t xml:space="preserve"> vīrusu) un </w:t>
      </w:r>
      <w:proofErr w:type="spellStart"/>
      <w:r w:rsidRPr="00FD61B6">
        <w:rPr>
          <w:rFonts w:ascii="Times New Roman" w:hAnsi="Times New Roman" w:cs="Times New Roman"/>
          <w:sz w:val="24"/>
          <w:szCs w:val="24"/>
        </w:rPr>
        <w:t>pretsēnīšu</w:t>
      </w:r>
      <w:proofErr w:type="spellEnd"/>
      <w:r w:rsidRPr="00FD61B6">
        <w:rPr>
          <w:rFonts w:ascii="Times New Roman" w:hAnsi="Times New Roman" w:cs="Times New Roman"/>
          <w:sz w:val="24"/>
          <w:szCs w:val="24"/>
        </w:rPr>
        <w:t xml:space="preserve"> (C. </w:t>
      </w:r>
      <w:proofErr w:type="spellStart"/>
      <w:r w:rsidRPr="00FD61B6">
        <w:rPr>
          <w:rFonts w:ascii="Times New Roman" w:hAnsi="Times New Roman" w:cs="Times New Roman"/>
          <w:sz w:val="24"/>
          <w:szCs w:val="24"/>
        </w:rPr>
        <w:t>albicans</w:t>
      </w:r>
      <w:proofErr w:type="spellEnd"/>
      <w:r w:rsidRPr="00FD61B6">
        <w:rPr>
          <w:rFonts w:ascii="Times New Roman" w:hAnsi="Times New Roman" w:cs="Times New Roman"/>
          <w:sz w:val="24"/>
          <w:szCs w:val="24"/>
        </w:rPr>
        <w:t>) iedarbība (testēts atbilstoši EN 14348; EN 14476).”</w:t>
      </w:r>
    </w:p>
    <w:p w14:paraId="7D4BF038" w14:textId="2032AB26" w:rsidR="00944ED3" w:rsidRPr="00FD61B6" w:rsidRDefault="00944ED3" w:rsidP="00944ED3">
      <w:pPr>
        <w:jc w:val="both"/>
        <w:rPr>
          <w:rFonts w:ascii="Times New Roman" w:hAnsi="Times New Roman" w:cs="Times New Roman"/>
          <w:sz w:val="24"/>
          <w:szCs w:val="24"/>
        </w:rPr>
      </w:pPr>
      <w:r w:rsidRPr="00FD61B6">
        <w:rPr>
          <w:rFonts w:ascii="Times New Roman" w:hAnsi="Times New Roman" w:cs="Times New Roman"/>
          <w:sz w:val="24"/>
          <w:szCs w:val="24"/>
        </w:rPr>
        <w:t xml:space="preserve">Vēršam uzmanību, ka EN 13697 nav standarts, kas paredzēts dezinfekcijas līdzekļu efektivitātes novērtēšanai medicīnas jomā. EN 13697 ir kvantitatīvs neporainu virsmu tests bez mehāniskas iedarbības, kas paredzēts ķīmisko dezinfekcijas līdzekļu baktericīdās un/vai </w:t>
      </w:r>
      <w:proofErr w:type="spellStart"/>
      <w:r w:rsidRPr="00FD61B6">
        <w:rPr>
          <w:rFonts w:ascii="Times New Roman" w:hAnsi="Times New Roman" w:cs="Times New Roman"/>
          <w:sz w:val="24"/>
          <w:szCs w:val="24"/>
        </w:rPr>
        <w:t>fungicīdās</w:t>
      </w:r>
      <w:proofErr w:type="spellEnd"/>
      <w:r w:rsidRPr="00FD61B6">
        <w:rPr>
          <w:rFonts w:ascii="Times New Roman" w:hAnsi="Times New Roman" w:cs="Times New Roman"/>
          <w:sz w:val="24"/>
          <w:szCs w:val="24"/>
        </w:rPr>
        <w:t>/</w:t>
      </w:r>
      <w:proofErr w:type="spellStart"/>
      <w:r w:rsidRPr="00FD61B6">
        <w:rPr>
          <w:rFonts w:ascii="Times New Roman" w:hAnsi="Times New Roman" w:cs="Times New Roman"/>
          <w:sz w:val="24"/>
          <w:szCs w:val="24"/>
        </w:rPr>
        <w:t>levuricīdās</w:t>
      </w:r>
      <w:proofErr w:type="spellEnd"/>
      <w:r w:rsidRPr="00FD61B6">
        <w:rPr>
          <w:rFonts w:ascii="Times New Roman" w:hAnsi="Times New Roman" w:cs="Times New Roman"/>
          <w:sz w:val="24"/>
          <w:szCs w:val="24"/>
        </w:rPr>
        <w:t xml:space="preserve"> aktivitātes novērtēšanai pārtikas, rūpniecības, sadzīves un institucionālajā vidē.</w:t>
      </w:r>
    </w:p>
    <w:p w14:paraId="52DC89E6" w14:textId="2E475A7A" w:rsidR="00944ED3" w:rsidRPr="00FD61B6" w:rsidRDefault="00944ED3" w:rsidP="00944ED3">
      <w:pPr>
        <w:jc w:val="both"/>
        <w:rPr>
          <w:rFonts w:ascii="Times New Roman" w:hAnsi="Times New Roman" w:cs="Times New Roman"/>
          <w:sz w:val="24"/>
          <w:szCs w:val="24"/>
        </w:rPr>
      </w:pPr>
      <w:r w:rsidRPr="00FD61B6">
        <w:rPr>
          <w:rFonts w:ascii="Times New Roman" w:hAnsi="Times New Roman" w:cs="Times New Roman"/>
          <w:sz w:val="24"/>
          <w:szCs w:val="24"/>
        </w:rPr>
        <w:t>Lūdzam grozīt 11.6. punkta prasību, svītrojot EN 13697, lai tehniskā specifikācija būtu atbilstoša produkta paredzētajam lietojumam medicīnas jomā un nepamatoti neierobežotu potenciālo pretendentu loku.</w:t>
      </w:r>
    </w:p>
    <w:p w14:paraId="0266BB96" w14:textId="34CB4DC9" w:rsidR="002A3B6B" w:rsidRPr="00FD61B6" w:rsidRDefault="002A3B6B" w:rsidP="00944ED3">
      <w:pPr>
        <w:jc w:val="both"/>
        <w:rPr>
          <w:rFonts w:ascii="Times New Roman" w:hAnsi="Times New Roman" w:cs="Times New Roman"/>
          <w:sz w:val="24"/>
          <w:szCs w:val="24"/>
        </w:rPr>
      </w:pPr>
      <w:r w:rsidRPr="00FD61B6">
        <w:rPr>
          <w:rFonts w:ascii="Times New Roman" w:hAnsi="Times New Roman" w:cs="Times New Roman"/>
          <w:sz w:val="24"/>
          <w:szCs w:val="24"/>
        </w:rPr>
        <w:t>Atbilde Nr.</w:t>
      </w:r>
      <w:r w:rsidR="00BA2396" w:rsidRPr="00FD61B6">
        <w:rPr>
          <w:rFonts w:ascii="Times New Roman" w:hAnsi="Times New Roman" w:cs="Times New Roman"/>
          <w:sz w:val="24"/>
          <w:szCs w:val="24"/>
        </w:rPr>
        <w:t>5</w:t>
      </w:r>
    </w:p>
    <w:p w14:paraId="71EFD9AF" w14:textId="4A67D725" w:rsidR="002A3B6B" w:rsidRPr="00FD61B6" w:rsidRDefault="002A3B6B" w:rsidP="00944ED3">
      <w:pPr>
        <w:jc w:val="both"/>
        <w:rPr>
          <w:rFonts w:ascii="Times New Roman" w:hAnsi="Times New Roman" w:cs="Times New Roman"/>
          <w:sz w:val="24"/>
          <w:szCs w:val="24"/>
        </w:rPr>
      </w:pPr>
      <w:r w:rsidRPr="00FD61B6">
        <w:rPr>
          <w:rFonts w:ascii="Times New Roman" w:hAnsi="Times New Roman" w:cs="Times New Roman"/>
          <w:sz w:val="24"/>
          <w:szCs w:val="24"/>
        </w:rPr>
        <w:t xml:space="preserve">Tiks veikti grozījumi Tehniskajā specifikācijā. Tiks svītrota prasība Baktericīda EN 13697. </w:t>
      </w:r>
    </w:p>
    <w:p w14:paraId="7092B9ED" w14:textId="77777777" w:rsidR="002A3B6B" w:rsidRPr="00FD61B6" w:rsidRDefault="002A3B6B" w:rsidP="00944ED3">
      <w:pPr>
        <w:jc w:val="both"/>
        <w:rPr>
          <w:rFonts w:ascii="Times New Roman" w:hAnsi="Times New Roman" w:cs="Times New Roman"/>
          <w:sz w:val="24"/>
          <w:szCs w:val="24"/>
        </w:rPr>
      </w:pPr>
    </w:p>
    <w:p w14:paraId="007D29D7" w14:textId="77777777" w:rsidR="00944ED3" w:rsidRPr="00FD61B6" w:rsidRDefault="00944ED3" w:rsidP="00944ED3">
      <w:pPr>
        <w:jc w:val="both"/>
        <w:rPr>
          <w:rFonts w:ascii="Times New Roman" w:hAnsi="Times New Roman" w:cs="Times New Roman"/>
          <w:sz w:val="24"/>
          <w:szCs w:val="24"/>
        </w:rPr>
      </w:pPr>
    </w:p>
    <w:sectPr w:rsidR="00944ED3" w:rsidRPr="00FD61B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2AFF" w:usb1="4000ACFF" w:usb2="00000001" w:usb3="00000000" w:csb0="000001FF" w:csb1="00000000"/>
  </w:font>
  <w:font w:name="Times New Roman">
    <w:altName w:val="Times New Roman PSMT"/>
    <w:panose1 w:val="02020603050405020304"/>
    <w:charset w:val="BA"/>
    <w:family w:val="roman"/>
    <w:pitch w:val="variable"/>
    <w:sig w:usb0="E0002A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2D5"/>
    <w:rsid w:val="002A3B6B"/>
    <w:rsid w:val="00671F9A"/>
    <w:rsid w:val="00944ED3"/>
    <w:rsid w:val="00BA2396"/>
    <w:rsid w:val="00D552D5"/>
    <w:rsid w:val="00FD61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34DD1"/>
  <w15:chartTrackingRefBased/>
  <w15:docId w15:val="{E11E0D2F-6D59-454D-B1EC-991815B3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552D5"/>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D552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1351</TotalTime>
  <Pages>4</Pages>
  <Words>6933</Words>
  <Characters>3952</Characters>
  <Application>Microsoft Office Word</Application>
  <DocSecurity>0</DocSecurity>
  <Lines>32</Lines>
  <Paragraphs>21</Paragraphs>
  <ScaleCrop>false</ScaleCrop>
  <Company/>
  <LinksUpToDate>false</LinksUpToDate>
  <CharactersWithSpaces>10864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Stinkeviča</dc:creator>
  <cp:keywords/>
  <dc:description/>
  <cp:lastModifiedBy>Anna Stinkeviča</cp:lastModifiedBy>
  <cp:revision>5</cp:revision>
  <dcterms:created xsi:type="dcterms:W3CDTF">2026-08-10T14:41:00Z</dcterms:created>
  <dcterms:modified xsi:type="dcterms:W3CDTF">2026-08-12T14:47:00Z</dcterms:modified>
</cp:coreProperties>
</file>