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48DDF4">
      <w:pPr>
        <w:jc w:val="center"/>
        <w:rPr>
          <w:lang w:val="lv-LV"/>
        </w:rPr>
      </w:pPr>
      <w:r>
        <w:rPr>
          <w:lang w:val="lv-LV"/>
        </w:rPr>
        <w:drawing>
          <wp:inline distT="0" distB="0" distL="0" distR="0">
            <wp:extent cx="2971800" cy="990600"/>
            <wp:effectExtent l="0" t="0" r="0" b="0"/>
            <wp:docPr id="839314140"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14140" name="Attēls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2971800" cy="990600"/>
                    </a:xfrm>
                    <a:prstGeom prst="rect">
                      <a:avLst/>
                    </a:prstGeom>
                    <a:noFill/>
                    <a:ln>
                      <a:noFill/>
                    </a:ln>
                  </pic:spPr>
                </pic:pic>
              </a:graphicData>
            </a:graphic>
          </wp:inline>
        </w:drawing>
      </w:r>
    </w:p>
    <w:p w14:paraId="0C77A9F8">
      <w:pPr>
        <w:spacing w:after="0"/>
        <w:jc w:val="right"/>
        <w:rPr>
          <w:rFonts w:ascii="Times New Roman" w:hAnsi="Times New Roman" w:cs="Times New Roman"/>
          <w:lang w:val="lv-LV"/>
        </w:rPr>
      </w:pPr>
      <w:r>
        <w:rPr>
          <w:rFonts w:ascii="Times New Roman" w:hAnsi="Times New Roman" w:cs="Times New Roman"/>
          <w:lang w:val="lv-LV"/>
        </w:rPr>
        <w:t>APSTIPRINĀTS</w:t>
      </w:r>
    </w:p>
    <w:p w14:paraId="65C037C7">
      <w:pPr>
        <w:spacing w:after="0"/>
        <w:jc w:val="right"/>
        <w:rPr>
          <w:rFonts w:ascii="Times New Roman" w:hAnsi="Times New Roman" w:cs="Times New Roman"/>
          <w:lang w:val="lv-LV"/>
        </w:rPr>
      </w:pPr>
      <w:r>
        <w:rPr>
          <w:rFonts w:ascii="Times New Roman" w:hAnsi="Times New Roman" w:cs="Times New Roman"/>
          <w:lang w:val="lv-LV"/>
        </w:rPr>
        <w:t>SIA “Bulduru Tehnikums”</w:t>
      </w:r>
    </w:p>
    <w:p w14:paraId="1A28BF56">
      <w:pPr>
        <w:spacing w:after="0"/>
        <w:jc w:val="right"/>
        <w:rPr>
          <w:rFonts w:ascii="Times New Roman" w:hAnsi="Times New Roman" w:cs="Times New Roman"/>
          <w:lang w:val="lv-LV"/>
        </w:rPr>
      </w:pPr>
      <w:r>
        <w:rPr>
          <w:rFonts w:ascii="Times New Roman" w:hAnsi="Times New Roman" w:cs="Times New Roman"/>
          <w:lang w:val="lv-LV"/>
        </w:rPr>
        <w:t>Iepirkumu komisijas 2026. gada 24.jūlija sēdē</w:t>
      </w:r>
    </w:p>
    <w:p w14:paraId="28410B41">
      <w:pPr>
        <w:spacing w:after="0"/>
        <w:jc w:val="right"/>
        <w:rPr>
          <w:rFonts w:ascii="Times New Roman" w:hAnsi="Times New Roman" w:cs="Times New Roman"/>
          <w:lang w:val="lv-LV"/>
        </w:rPr>
      </w:pPr>
      <w:r>
        <w:rPr>
          <w:rFonts w:ascii="Times New Roman" w:hAnsi="Times New Roman" w:cs="Times New Roman"/>
          <w:lang w:val="lv-LV"/>
        </w:rPr>
        <w:t>protokols Nr. 01-BT 2026/8-ERAF</w:t>
      </w:r>
    </w:p>
    <w:p w14:paraId="62597B40">
      <w:pPr>
        <w:spacing w:after="0"/>
        <w:jc w:val="right"/>
        <w:rPr>
          <w:rFonts w:ascii="Times New Roman" w:hAnsi="Times New Roman" w:cs="Times New Roman"/>
          <w:color w:val="EE0000"/>
          <w:lang w:val="lv-LV"/>
        </w:rPr>
      </w:pPr>
      <w:r>
        <w:rPr>
          <w:rFonts w:ascii="Times New Roman" w:hAnsi="Times New Roman" w:cs="Times New Roman"/>
          <w:color w:val="EE0000"/>
          <w:lang w:val="lv-LV"/>
        </w:rPr>
        <w:t>GROZĪJUMI</w:t>
      </w:r>
    </w:p>
    <w:p w14:paraId="1DDA40C3">
      <w:pPr>
        <w:spacing w:after="0"/>
        <w:jc w:val="right"/>
        <w:rPr>
          <w:rFonts w:ascii="Times New Roman" w:hAnsi="Times New Roman" w:cs="Times New Roman"/>
          <w:color w:val="EE0000"/>
          <w:lang w:val="lv-LV"/>
        </w:rPr>
      </w:pPr>
      <w:r>
        <w:rPr>
          <w:rFonts w:ascii="Times New Roman" w:hAnsi="Times New Roman" w:cs="Times New Roman"/>
          <w:color w:val="EE0000"/>
          <w:lang w:val="lv-LV"/>
        </w:rPr>
        <w:t>SIA “Bulduru Tehnikums”</w:t>
      </w:r>
    </w:p>
    <w:p w14:paraId="58F32BA4">
      <w:pPr>
        <w:spacing w:after="0"/>
        <w:jc w:val="right"/>
        <w:rPr>
          <w:rFonts w:ascii="Times New Roman" w:hAnsi="Times New Roman" w:cs="Times New Roman"/>
          <w:color w:val="EE0000"/>
          <w:lang w:val="lv-LV"/>
        </w:rPr>
      </w:pPr>
      <w:r>
        <w:rPr>
          <w:rFonts w:ascii="Times New Roman" w:hAnsi="Times New Roman" w:cs="Times New Roman"/>
          <w:color w:val="EE0000"/>
          <w:lang w:val="lv-LV"/>
        </w:rPr>
        <w:t>Iepirkumu komisijas 2026. gada 12.augusta sēdē</w:t>
      </w:r>
    </w:p>
    <w:p w14:paraId="03DE1244">
      <w:pPr>
        <w:spacing w:after="0"/>
        <w:jc w:val="right"/>
        <w:rPr>
          <w:rFonts w:ascii="Times New Roman" w:hAnsi="Times New Roman" w:cs="Times New Roman"/>
          <w:color w:val="EE0000"/>
          <w:lang w:val="lv-LV"/>
        </w:rPr>
      </w:pPr>
      <w:r>
        <w:rPr>
          <w:rFonts w:ascii="Times New Roman" w:hAnsi="Times New Roman" w:cs="Times New Roman"/>
          <w:color w:val="EE0000"/>
          <w:lang w:val="lv-LV"/>
        </w:rPr>
        <w:t>protokols Nr. 02-BT 2026/8-ERAF</w:t>
      </w:r>
    </w:p>
    <w:p w14:paraId="67D38093">
      <w:pPr>
        <w:spacing w:after="0"/>
        <w:jc w:val="right"/>
        <w:rPr>
          <w:rFonts w:ascii="Times New Roman" w:hAnsi="Times New Roman" w:cs="Times New Roman"/>
          <w:color w:val="FFC000"/>
          <w:highlight w:val="none"/>
          <w:lang w:val="lv-LV"/>
        </w:rPr>
      </w:pPr>
      <w:r>
        <w:rPr>
          <w:rFonts w:ascii="Times New Roman" w:hAnsi="Times New Roman" w:cs="Times New Roman"/>
          <w:color w:val="FFC000"/>
          <w:highlight w:val="none"/>
          <w:lang w:val="lv-LV"/>
        </w:rPr>
        <w:t>GROZĪJUMI</w:t>
      </w:r>
    </w:p>
    <w:p w14:paraId="3E5C77FC">
      <w:pPr>
        <w:spacing w:after="0"/>
        <w:jc w:val="right"/>
        <w:rPr>
          <w:rFonts w:ascii="Times New Roman" w:hAnsi="Times New Roman" w:cs="Times New Roman"/>
          <w:color w:val="FFC000"/>
          <w:highlight w:val="none"/>
          <w:lang w:val="lv-LV"/>
        </w:rPr>
      </w:pPr>
      <w:r>
        <w:rPr>
          <w:rFonts w:ascii="Times New Roman" w:hAnsi="Times New Roman" w:cs="Times New Roman"/>
          <w:color w:val="FFC000"/>
          <w:highlight w:val="none"/>
          <w:lang w:val="lv-LV"/>
        </w:rPr>
        <w:t>SIA “Bulduru Tehnikums”</w:t>
      </w:r>
    </w:p>
    <w:p w14:paraId="32171A3C">
      <w:pPr>
        <w:spacing w:after="0"/>
        <w:jc w:val="right"/>
        <w:rPr>
          <w:rFonts w:ascii="Times New Roman" w:hAnsi="Times New Roman" w:cs="Times New Roman"/>
          <w:color w:val="FFC000"/>
          <w:highlight w:val="none"/>
          <w:lang w:val="lv-LV"/>
        </w:rPr>
      </w:pPr>
      <w:r>
        <w:rPr>
          <w:rFonts w:ascii="Times New Roman" w:hAnsi="Times New Roman" w:cs="Times New Roman"/>
          <w:color w:val="FFC000"/>
          <w:highlight w:val="none"/>
          <w:lang w:val="lv-LV"/>
        </w:rPr>
        <w:t xml:space="preserve">Iepirkumu komisijas 2026. gada </w:t>
      </w:r>
      <w:r>
        <w:rPr>
          <w:rFonts w:hint="default" w:ascii="Times New Roman" w:hAnsi="Times New Roman" w:cs="Times New Roman"/>
          <w:color w:val="FFC000"/>
          <w:highlight w:val="none"/>
          <w:lang w:val="lv-LV"/>
        </w:rPr>
        <w:t>24</w:t>
      </w:r>
      <w:r>
        <w:rPr>
          <w:rFonts w:ascii="Times New Roman" w:hAnsi="Times New Roman" w:cs="Times New Roman"/>
          <w:color w:val="FFC000"/>
          <w:highlight w:val="none"/>
          <w:lang w:val="lv-LV"/>
        </w:rPr>
        <w:t>.augusta sēdē</w:t>
      </w:r>
    </w:p>
    <w:p w14:paraId="510C12AA">
      <w:pPr>
        <w:spacing w:after="0"/>
        <w:jc w:val="right"/>
        <w:rPr>
          <w:rFonts w:ascii="Times New Roman" w:hAnsi="Times New Roman" w:cs="Times New Roman"/>
          <w:color w:val="FFC000"/>
          <w:highlight w:val="none"/>
          <w:lang w:val="lv-LV"/>
        </w:rPr>
      </w:pPr>
      <w:r>
        <w:rPr>
          <w:rFonts w:ascii="Times New Roman" w:hAnsi="Times New Roman" w:cs="Times New Roman"/>
          <w:color w:val="FFC000"/>
          <w:highlight w:val="none"/>
          <w:lang w:val="lv-LV"/>
        </w:rPr>
        <w:t>protokols Nr. 0</w:t>
      </w:r>
      <w:r>
        <w:rPr>
          <w:rFonts w:hint="default" w:ascii="Times New Roman" w:hAnsi="Times New Roman" w:cs="Times New Roman"/>
          <w:color w:val="FFC000"/>
          <w:highlight w:val="none"/>
          <w:lang w:val="lv-LV"/>
        </w:rPr>
        <w:t>4</w:t>
      </w:r>
      <w:r>
        <w:rPr>
          <w:rFonts w:ascii="Times New Roman" w:hAnsi="Times New Roman" w:cs="Times New Roman"/>
          <w:color w:val="FFC000"/>
          <w:highlight w:val="none"/>
          <w:lang w:val="lv-LV"/>
        </w:rPr>
        <w:t>-BT 2026/8-ERAF</w:t>
      </w:r>
    </w:p>
    <w:p w14:paraId="05520473">
      <w:pPr>
        <w:spacing w:after="0"/>
        <w:jc w:val="right"/>
        <w:rPr>
          <w:rFonts w:ascii="Times New Roman" w:hAnsi="Times New Roman" w:cs="Times New Roman"/>
          <w:color w:val="EE0000"/>
          <w:lang w:val="lv-LV"/>
        </w:rPr>
      </w:pPr>
    </w:p>
    <w:p w14:paraId="796F6C74">
      <w:pPr>
        <w:spacing w:after="0"/>
        <w:jc w:val="right"/>
        <w:rPr>
          <w:rFonts w:ascii="Times New Roman" w:hAnsi="Times New Roman" w:cs="Times New Roman"/>
          <w:lang w:val="lv-LV"/>
        </w:rPr>
      </w:pPr>
    </w:p>
    <w:p w14:paraId="42A08F5C">
      <w:pPr>
        <w:jc w:val="center"/>
        <w:rPr>
          <w:rFonts w:hint="default"/>
          <w:lang w:val="lv-LV"/>
        </w:rPr>
      </w:pPr>
    </w:p>
    <w:p w14:paraId="24A88195">
      <w:pPr>
        <w:jc w:val="center"/>
        <w:rPr>
          <w:lang w:val="lv-LV"/>
        </w:rPr>
      </w:pPr>
    </w:p>
    <w:p w14:paraId="6F7FFDB4">
      <w:pPr>
        <w:jc w:val="center"/>
        <w:rPr>
          <w:rFonts w:ascii="Times New Roman" w:hAnsi="Times New Roman" w:cs="Times New Roman"/>
          <w:lang w:val="lv-LV"/>
        </w:rPr>
      </w:pPr>
      <w:r>
        <w:rPr>
          <w:rFonts w:ascii="Times New Roman" w:hAnsi="Times New Roman" w:cs="Times New Roman"/>
          <w:lang w:val="lv-LV"/>
        </w:rPr>
        <w:t>Eiropas Savienības kohēzijas politikas programmas 2021.–2027. gadam 2.1.1. specifiskā atbalsta mērķa "Energoefektivitātes veicināšana un siltumnīcefekta gāzu emisiju samazināšana" 2.1.1.4. pasākuma "Energoefektivitātes paaugstināšana valsts ēkās" un 2.1.1.7. pasākuma "Valsts iestāžu infrastruktūras optimizācija" projekts "Energoefektivitātes paaugstināšana SIA "Bulduru Tehnikums" ēkās" (Nr. 2.1.1.4/1/25/I/027) ietvaros</w:t>
      </w:r>
    </w:p>
    <w:p w14:paraId="1C34D4A9">
      <w:pPr>
        <w:rPr>
          <w:rFonts w:ascii="Times New Roman" w:hAnsi="Times New Roman" w:cs="Times New Roman"/>
          <w:lang w:val="lv-LV"/>
        </w:rPr>
      </w:pPr>
    </w:p>
    <w:p w14:paraId="31CF0B05">
      <w:pPr>
        <w:spacing w:after="0" w:line="240" w:lineRule="auto"/>
        <w:jc w:val="center"/>
        <w:rPr>
          <w:rFonts w:ascii="Times New Roman" w:hAnsi="Times New Roman" w:cs="Times New Roman"/>
          <w:b/>
          <w:bCs/>
          <w:lang w:val="lv-LV"/>
        </w:rPr>
      </w:pPr>
      <w:r>
        <w:rPr>
          <w:rFonts w:ascii="Times New Roman" w:hAnsi="Times New Roman" w:cs="Times New Roman"/>
          <w:b/>
          <w:bCs/>
          <w:lang w:val="lv-LV"/>
        </w:rPr>
        <w:t>Atklātā konkursa</w:t>
      </w:r>
    </w:p>
    <w:p w14:paraId="6EE69E6C">
      <w:pPr>
        <w:spacing w:after="0" w:line="240" w:lineRule="auto"/>
        <w:jc w:val="center"/>
        <w:rPr>
          <w:rFonts w:ascii="Times New Roman" w:hAnsi="Times New Roman" w:cs="Times New Roman"/>
          <w:b/>
          <w:bCs/>
          <w:lang w:val="lv-LV"/>
        </w:rPr>
      </w:pPr>
      <w:r>
        <w:rPr>
          <w:rFonts w:ascii="Times New Roman" w:hAnsi="Times New Roman" w:cs="Times New Roman"/>
          <w:b/>
          <w:bCs/>
          <w:lang w:val="lv-LV"/>
        </w:rPr>
        <w:t xml:space="preserve"> SIA “Bulduru Tehnikums” ēku energoefektivitātes paaugstināšanas  projekta vadība un tehniskais atbalsts</w:t>
      </w:r>
    </w:p>
    <w:p w14:paraId="20588CBF">
      <w:pPr>
        <w:spacing w:after="0" w:line="240" w:lineRule="auto"/>
        <w:jc w:val="center"/>
        <w:rPr>
          <w:rFonts w:ascii="Times New Roman" w:hAnsi="Times New Roman" w:cs="Times New Roman"/>
          <w:b/>
          <w:bCs/>
          <w:lang w:val="lv-LV"/>
        </w:rPr>
      </w:pPr>
      <w:r>
        <w:rPr>
          <w:rFonts w:ascii="Times New Roman" w:hAnsi="Times New Roman" w:cs="Times New Roman"/>
          <w:b/>
          <w:bCs/>
          <w:lang w:val="lv-LV"/>
        </w:rPr>
        <w:t>Iepirkuma ID Nr. BT 2026/8 -ERAF</w:t>
      </w:r>
    </w:p>
    <w:p w14:paraId="001C4A71">
      <w:pPr>
        <w:spacing w:after="0" w:line="240" w:lineRule="auto"/>
        <w:jc w:val="center"/>
        <w:rPr>
          <w:rFonts w:ascii="Times New Roman" w:hAnsi="Times New Roman" w:cs="Times New Roman"/>
          <w:b/>
          <w:bCs/>
          <w:lang w:val="lv-LV"/>
        </w:rPr>
      </w:pPr>
    </w:p>
    <w:p w14:paraId="5860765D">
      <w:pPr>
        <w:spacing w:after="0" w:line="240" w:lineRule="auto"/>
        <w:jc w:val="center"/>
        <w:rPr>
          <w:rFonts w:ascii="Times New Roman" w:hAnsi="Times New Roman" w:cs="Times New Roman"/>
          <w:b/>
          <w:bCs/>
          <w:lang w:val="lv-LV"/>
        </w:rPr>
      </w:pPr>
      <w:r>
        <w:rPr>
          <w:rFonts w:ascii="Times New Roman" w:hAnsi="Times New Roman" w:cs="Times New Roman"/>
          <w:b/>
          <w:bCs/>
          <w:lang w:val="lv-LV"/>
        </w:rPr>
        <w:t>NOLIKUMS</w:t>
      </w:r>
    </w:p>
    <w:p w14:paraId="07A9B92A">
      <w:pPr>
        <w:spacing w:after="0" w:line="240" w:lineRule="auto"/>
        <w:jc w:val="center"/>
        <w:rPr>
          <w:rFonts w:ascii="Times New Roman" w:hAnsi="Times New Roman" w:cs="Times New Roman"/>
          <w:b/>
          <w:bCs/>
          <w:lang w:val="lv-LV"/>
        </w:rPr>
      </w:pPr>
    </w:p>
    <w:p w14:paraId="153126EC">
      <w:pPr>
        <w:spacing w:after="0" w:line="240" w:lineRule="auto"/>
        <w:jc w:val="center"/>
        <w:rPr>
          <w:rFonts w:ascii="Times New Roman" w:hAnsi="Times New Roman" w:cs="Times New Roman"/>
          <w:b/>
          <w:bCs/>
          <w:lang w:val="lv-LV"/>
        </w:rPr>
      </w:pPr>
    </w:p>
    <w:p w14:paraId="19AEFB16">
      <w:pPr>
        <w:spacing w:after="0" w:line="240" w:lineRule="auto"/>
        <w:jc w:val="center"/>
        <w:rPr>
          <w:rFonts w:ascii="Times New Roman" w:hAnsi="Times New Roman" w:cs="Times New Roman"/>
          <w:b/>
          <w:bCs/>
          <w:lang w:val="lv-LV"/>
        </w:rPr>
      </w:pPr>
    </w:p>
    <w:p w14:paraId="68E33C2D">
      <w:pPr>
        <w:spacing w:after="0" w:line="240" w:lineRule="auto"/>
        <w:jc w:val="center"/>
        <w:rPr>
          <w:rFonts w:ascii="Times New Roman" w:hAnsi="Times New Roman" w:cs="Times New Roman"/>
          <w:b/>
          <w:bCs/>
          <w:lang w:val="lv-LV"/>
        </w:rPr>
      </w:pPr>
    </w:p>
    <w:p w14:paraId="70888B99">
      <w:pPr>
        <w:spacing w:after="0" w:line="240" w:lineRule="auto"/>
        <w:jc w:val="center"/>
        <w:rPr>
          <w:rFonts w:ascii="Times New Roman" w:hAnsi="Times New Roman" w:cs="Times New Roman"/>
          <w:b/>
          <w:bCs/>
          <w:lang w:val="lv-LV"/>
        </w:rPr>
      </w:pPr>
    </w:p>
    <w:p w14:paraId="41605316">
      <w:pPr>
        <w:spacing w:after="0" w:line="240" w:lineRule="auto"/>
        <w:jc w:val="center"/>
        <w:rPr>
          <w:rFonts w:ascii="Times New Roman" w:hAnsi="Times New Roman" w:cs="Times New Roman"/>
          <w:b/>
          <w:bCs/>
          <w:lang w:val="lv-LV"/>
        </w:rPr>
      </w:pPr>
    </w:p>
    <w:p w14:paraId="2760390D">
      <w:pPr>
        <w:spacing w:after="0" w:line="240" w:lineRule="auto"/>
        <w:jc w:val="center"/>
        <w:rPr>
          <w:rFonts w:ascii="Times New Roman" w:hAnsi="Times New Roman" w:cs="Times New Roman"/>
          <w:b/>
          <w:bCs/>
          <w:lang w:val="lv-LV"/>
        </w:rPr>
      </w:pPr>
    </w:p>
    <w:p w14:paraId="31797B32">
      <w:pPr>
        <w:spacing w:after="0" w:line="240" w:lineRule="auto"/>
        <w:jc w:val="center"/>
        <w:rPr>
          <w:rFonts w:ascii="Times New Roman" w:hAnsi="Times New Roman" w:cs="Times New Roman"/>
          <w:b/>
          <w:bCs/>
          <w:lang w:val="lv-LV"/>
        </w:rPr>
      </w:pPr>
    </w:p>
    <w:p w14:paraId="1C77EDFB">
      <w:pPr>
        <w:spacing w:after="0" w:line="240" w:lineRule="auto"/>
        <w:jc w:val="center"/>
        <w:rPr>
          <w:rFonts w:ascii="Times New Roman" w:hAnsi="Times New Roman" w:cs="Times New Roman"/>
          <w:b/>
          <w:bCs/>
          <w:lang w:val="lv-LV"/>
        </w:rPr>
      </w:pPr>
    </w:p>
    <w:p w14:paraId="53AED3C1">
      <w:pPr>
        <w:spacing w:after="0" w:line="240" w:lineRule="auto"/>
        <w:rPr>
          <w:rFonts w:ascii="Times New Roman" w:hAnsi="Times New Roman" w:cs="Times New Roman"/>
          <w:b/>
          <w:bCs/>
          <w:lang w:val="lv-LV"/>
        </w:rPr>
      </w:pPr>
    </w:p>
    <w:p w14:paraId="74FE733E">
      <w:pPr>
        <w:spacing w:after="0" w:line="240" w:lineRule="auto"/>
        <w:jc w:val="center"/>
        <w:rPr>
          <w:rFonts w:ascii="Times New Roman" w:hAnsi="Times New Roman" w:cs="Times New Roman"/>
          <w:b/>
          <w:bCs/>
          <w:lang w:val="lv-LV"/>
        </w:rPr>
      </w:pPr>
    </w:p>
    <w:p w14:paraId="60981373">
      <w:pPr>
        <w:spacing w:after="0" w:line="240" w:lineRule="auto"/>
        <w:jc w:val="center"/>
        <w:rPr>
          <w:rFonts w:ascii="Times New Roman" w:hAnsi="Times New Roman" w:cs="Times New Roman"/>
          <w:lang w:val="lv-LV"/>
        </w:rPr>
      </w:pPr>
      <w:r>
        <w:rPr>
          <w:rFonts w:ascii="Times New Roman" w:hAnsi="Times New Roman" w:cs="Times New Roman"/>
          <w:lang w:val="lv-LV"/>
        </w:rPr>
        <w:t>Jūrmala, 2026</w:t>
      </w:r>
    </w:p>
    <w:sdt>
      <w:sdtPr>
        <w:rPr>
          <w:rFonts w:asciiTheme="minorHAnsi" w:hAnsiTheme="minorHAnsi" w:eastAsiaTheme="minorHAnsi" w:cstheme="minorBidi"/>
          <w:color w:val="auto"/>
          <w:kern w:val="2"/>
          <w:sz w:val="24"/>
          <w:szCs w:val="24"/>
          <w:lang w:val="lv-LV"/>
          <w14:ligatures w14:val="standardContextual"/>
        </w:rPr>
        <w:id w:val="-562866153"/>
        <w:docPartObj>
          <w:docPartGallery w:val="Table of Contents"/>
          <w:docPartUnique/>
        </w:docPartObj>
      </w:sdtPr>
      <w:sdtEndPr>
        <w:rPr>
          <w:rFonts w:asciiTheme="minorHAnsi" w:hAnsiTheme="minorHAnsi" w:eastAsiaTheme="minorHAnsi" w:cstheme="minorBidi"/>
          <w:b/>
          <w:bCs/>
          <w:color w:val="auto"/>
          <w:kern w:val="2"/>
          <w:sz w:val="24"/>
          <w:szCs w:val="24"/>
          <w:lang w:val="lv-LV"/>
          <w14:ligatures w14:val="standardContextual"/>
        </w:rPr>
      </w:sdtEndPr>
      <w:sdtContent>
        <w:p w14:paraId="452EFB6B">
          <w:pPr>
            <w:pStyle w:val="44"/>
            <w:jc w:val="center"/>
            <w:rPr>
              <w:rFonts w:ascii="Times New Roman" w:hAnsi="Times New Roman" w:cs="Times New Roman"/>
              <w:b/>
              <w:bCs/>
              <w:color w:val="000000" w:themeColor="text1"/>
              <w:lang w:val="lv-LV"/>
              <w14:textFill>
                <w14:solidFill>
                  <w14:schemeClr w14:val="tx1"/>
                </w14:solidFill>
              </w14:textFill>
            </w:rPr>
          </w:pPr>
          <w:r>
            <w:rPr>
              <w:rFonts w:ascii="Times New Roman" w:hAnsi="Times New Roman" w:cs="Times New Roman"/>
              <w:b/>
              <w:bCs/>
              <w:color w:val="000000" w:themeColor="text1"/>
              <w:lang w:val="lv-LV"/>
              <w14:textFill>
                <w14:solidFill>
                  <w14:schemeClr w14:val="tx1"/>
                </w14:solidFill>
              </w14:textFill>
            </w:rPr>
            <w:t>Saturs</w:t>
          </w:r>
        </w:p>
        <w:p w14:paraId="36700D24">
          <w:pPr>
            <w:pStyle w:val="22"/>
            <w:tabs>
              <w:tab w:val="left" w:pos="480"/>
              <w:tab w:val="right" w:leader="dot" w:pos="9350"/>
            </w:tabs>
            <w:rPr>
              <w:rFonts w:ascii="Times New Roman" w:hAnsi="Times New Roman" w:cs="Times New Roman" w:eastAsiaTheme="minorEastAsia"/>
              <w:lang w:val="lv-LV"/>
            </w:rPr>
          </w:pPr>
          <w:r>
            <w:rPr>
              <w:rFonts w:ascii="Times New Roman" w:hAnsi="Times New Roman" w:cs="Times New Roman"/>
              <w:lang w:val="lv-LV"/>
            </w:rPr>
            <w:fldChar w:fldCharType="begin"/>
          </w:r>
          <w:r>
            <w:rPr>
              <w:rFonts w:ascii="Times New Roman" w:hAnsi="Times New Roman" w:cs="Times New Roman"/>
              <w:lang w:val="lv-LV"/>
            </w:rPr>
            <w:instrText xml:space="preserve"> TOC \o "1-3" \h \z \u </w:instrText>
          </w:r>
          <w:r>
            <w:rPr>
              <w:rFonts w:ascii="Times New Roman" w:hAnsi="Times New Roman" w:cs="Times New Roman"/>
              <w:lang w:val="lv-LV"/>
            </w:rPr>
            <w:fldChar w:fldCharType="separate"/>
          </w:r>
          <w:r>
            <w:fldChar w:fldCharType="begin"/>
          </w:r>
          <w:r>
            <w:instrText xml:space="preserve"> HYPERLINK \l "_Toc235703247" </w:instrText>
          </w:r>
          <w:r>
            <w:fldChar w:fldCharType="separate"/>
          </w:r>
          <w:r>
            <w:rPr>
              <w:rStyle w:val="18"/>
              <w:rFonts w:ascii="Times New Roman" w:hAnsi="Times New Roman" w:cs="Times New Roman"/>
              <w:lang w:val="lv-LV"/>
            </w:rPr>
            <w:t>1.</w:t>
          </w:r>
          <w:r>
            <w:rPr>
              <w:rFonts w:ascii="Times New Roman" w:hAnsi="Times New Roman" w:cs="Times New Roman" w:eastAsiaTheme="minorEastAsia"/>
              <w:lang w:val="lv-LV"/>
            </w:rPr>
            <w:tab/>
          </w:r>
          <w:r>
            <w:rPr>
              <w:rStyle w:val="18"/>
              <w:rFonts w:ascii="Times New Roman" w:hAnsi="Times New Roman" w:cs="Times New Roman"/>
              <w:lang w:val="lv-LV"/>
            </w:rPr>
            <w:t>Vispārīgā informācija</w:t>
          </w:r>
          <w:r>
            <w:rPr>
              <w:rFonts w:ascii="Times New Roman" w:hAnsi="Times New Roman" w:cs="Times New Roman"/>
              <w:lang w:val="lv-LV"/>
            </w:rPr>
            <w:tab/>
          </w:r>
          <w:r>
            <w:rPr>
              <w:rFonts w:ascii="Times New Roman" w:hAnsi="Times New Roman" w:cs="Times New Roman"/>
              <w:lang w:val="lv-LV"/>
            </w:rPr>
            <w:fldChar w:fldCharType="begin"/>
          </w:r>
          <w:r>
            <w:rPr>
              <w:rFonts w:ascii="Times New Roman" w:hAnsi="Times New Roman" w:cs="Times New Roman"/>
              <w:lang w:val="lv-LV"/>
            </w:rPr>
            <w:instrText xml:space="preserve"> PAGEREF _Toc235703247 \h </w:instrText>
          </w:r>
          <w:r>
            <w:rPr>
              <w:rFonts w:ascii="Times New Roman" w:hAnsi="Times New Roman" w:cs="Times New Roman"/>
              <w:lang w:val="lv-LV"/>
            </w:rPr>
            <w:fldChar w:fldCharType="separate"/>
          </w:r>
          <w:r>
            <w:rPr>
              <w:rFonts w:ascii="Times New Roman" w:hAnsi="Times New Roman" w:cs="Times New Roman"/>
              <w:lang w:val="lv-LV"/>
            </w:rPr>
            <w:t>3</w:t>
          </w:r>
          <w:r>
            <w:rPr>
              <w:rFonts w:ascii="Times New Roman" w:hAnsi="Times New Roman" w:cs="Times New Roman"/>
              <w:lang w:val="lv-LV"/>
            </w:rPr>
            <w:fldChar w:fldCharType="end"/>
          </w:r>
          <w:r>
            <w:rPr>
              <w:rFonts w:ascii="Times New Roman" w:hAnsi="Times New Roman" w:cs="Times New Roman"/>
              <w:lang w:val="lv-LV"/>
            </w:rPr>
            <w:fldChar w:fldCharType="end"/>
          </w:r>
        </w:p>
        <w:p w14:paraId="03B4ECAF">
          <w:pPr>
            <w:pStyle w:val="22"/>
            <w:tabs>
              <w:tab w:val="left" w:pos="480"/>
              <w:tab w:val="right" w:leader="dot" w:pos="9350"/>
            </w:tabs>
            <w:rPr>
              <w:rFonts w:ascii="Times New Roman" w:hAnsi="Times New Roman" w:cs="Times New Roman" w:eastAsiaTheme="minorEastAsia"/>
              <w:lang w:val="lv-LV"/>
            </w:rPr>
          </w:pPr>
          <w:r>
            <w:fldChar w:fldCharType="begin"/>
          </w:r>
          <w:r>
            <w:instrText xml:space="preserve"> HYPERLINK \l "_Toc235703248" </w:instrText>
          </w:r>
          <w:r>
            <w:fldChar w:fldCharType="separate"/>
          </w:r>
          <w:r>
            <w:rPr>
              <w:rStyle w:val="18"/>
              <w:rFonts w:ascii="Times New Roman" w:hAnsi="Times New Roman" w:cs="Times New Roman"/>
              <w:lang w:val="lv-LV"/>
            </w:rPr>
            <w:t>2.</w:t>
          </w:r>
          <w:r>
            <w:rPr>
              <w:rFonts w:ascii="Times New Roman" w:hAnsi="Times New Roman" w:cs="Times New Roman" w:eastAsiaTheme="minorEastAsia"/>
              <w:lang w:val="lv-LV"/>
            </w:rPr>
            <w:tab/>
          </w:r>
          <w:r>
            <w:rPr>
              <w:rStyle w:val="18"/>
              <w:rFonts w:ascii="Times New Roman" w:hAnsi="Times New Roman" w:cs="Times New Roman"/>
              <w:lang w:val="lv-LV"/>
            </w:rPr>
            <w:t>Nosacījumi pretendenta dalībai konkursā</w:t>
          </w:r>
          <w:r>
            <w:rPr>
              <w:rFonts w:ascii="Times New Roman" w:hAnsi="Times New Roman" w:cs="Times New Roman"/>
              <w:lang w:val="lv-LV"/>
            </w:rPr>
            <w:tab/>
          </w:r>
          <w:r>
            <w:rPr>
              <w:rFonts w:ascii="Times New Roman" w:hAnsi="Times New Roman" w:cs="Times New Roman"/>
              <w:lang w:val="lv-LV"/>
            </w:rPr>
            <w:fldChar w:fldCharType="begin"/>
          </w:r>
          <w:r>
            <w:rPr>
              <w:rFonts w:ascii="Times New Roman" w:hAnsi="Times New Roman" w:cs="Times New Roman"/>
              <w:lang w:val="lv-LV"/>
            </w:rPr>
            <w:instrText xml:space="preserve"> PAGEREF _Toc235703248 \h </w:instrText>
          </w:r>
          <w:r>
            <w:rPr>
              <w:rFonts w:ascii="Times New Roman" w:hAnsi="Times New Roman" w:cs="Times New Roman"/>
              <w:lang w:val="lv-LV"/>
            </w:rPr>
            <w:fldChar w:fldCharType="separate"/>
          </w:r>
          <w:r>
            <w:rPr>
              <w:rFonts w:ascii="Times New Roman" w:hAnsi="Times New Roman" w:cs="Times New Roman"/>
              <w:lang w:val="lv-LV"/>
            </w:rPr>
            <w:t>9</w:t>
          </w:r>
          <w:r>
            <w:rPr>
              <w:rFonts w:ascii="Times New Roman" w:hAnsi="Times New Roman" w:cs="Times New Roman"/>
              <w:lang w:val="lv-LV"/>
            </w:rPr>
            <w:fldChar w:fldCharType="end"/>
          </w:r>
          <w:r>
            <w:rPr>
              <w:rFonts w:ascii="Times New Roman" w:hAnsi="Times New Roman" w:cs="Times New Roman"/>
              <w:lang w:val="lv-LV"/>
            </w:rPr>
            <w:fldChar w:fldCharType="end"/>
          </w:r>
        </w:p>
        <w:p w14:paraId="4EE89771">
          <w:pPr>
            <w:pStyle w:val="22"/>
            <w:tabs>
              <w:tab w:val="left" w:pos="480"/>
              <w:tab w:val="right" w:leader="dot" w:pos="9350"/>
            </w:tabs>
            <w:rPr>
              <w:rFonts w:ascii="Times New Roman" w:hAnsi="Times New Roman" w:cs="Times New Roman" w:eastAsiaTheme="minorEastAsia"/>
              <w:lang w:val="lv-LV"/>
            </w:rPr>
          </w:pPr>
          <w:r>
            <w:fldChar w:fldCharType="begin"/>
          </w:r>
          <w:r>
            <w:instrText xml:space="preserve"> HYPERLINK \l "_Toc235703249" </w:instrText>
          </w:r>
          <w:r>
            <w:fldChar w:fldCharType="separate"/>
          </w:r>
          <w:r>
            <w:rPr>
              <w:rStyle w:val="18"/>
              <w:rFonts w:ascii="Times New Roman" w:hAnsi="Times New Roman" w:cs="Times New Roman"/>
              <w:lang w:val="lv-LV"/>
            </w:rPr>
            <w:t>3.</w:t>
          </w:r>
          <w:r>
            <w:rPr>
              <w:rFonts w:ascii="Times New Roman" w:hAnsi="Times New Roman" w:cs="Times New Roman" w:eastAsiaTheme="minorEastAsia"/>
              <w:lang w:val="lv-LV"/>
            </w:rPr>
            <w:tab/>
          </w:r>
          <w:r>
            <w:rPr>
              <w:rStyle w:val="18"/>
              <w:rFonts w:ascii="Times New Roman" w:hAnsi="Times New Roman" w:cs="Times New Roman"/>
              <w:lang w:val="lv-LV"/>
            </w:rPr>
            <w:t>Iepirkumu komisija, tiesības un pienākumi</w:t>
          </w:r>
          <w:r>
            <w:rPr>
              <w:rFonts w:ascii="Times New Roman" w:hAnsi="Times New Roman" w:cs="Times New Roman"/>
              <w:lang w:val="lv-LV"/>
            </w:rPr>
            <w:tab/>
          </w:r>
          <w:r>
            <w:rPr>
              <w:rFonts w:ascii="Times New Roman" w:hAnsi="Times New Roman" w:cs="Times New Roman"/>
              <w:lang w:val="lv-LV"/>
            </w:rPr>
            <w:fldChar w:fldCharType="begin"/>
          </w:r>
          <w:r>
            <w:rPr>
              <w:rFonts w:ascii="Times New Roman" w:hAnsi="Times New Roman" w:cs="Times New Roman"/>
              <w:lang w:val="lv-LV"/>
            </w:rPr>
            <w:instrText xml:space="preserve"> PAGEREF _Toc235703249 \h </w:instrText>
          </w:r>
          <w:r>
            <w:rPr>
              <w:rFonts w:ascii="Times New Roman" w:hAnsi="Times New Roman" w:cs="Times New Roman"/>
              <w:lang w:val="lv-LV"/>
            </w:rPr>
            <w:fldChar w:fldCharType="separate"/>
          </w:r>
          <w:r>
            <w:rPr>
              <w:rFonts w:ascii="Times New Roman" w:hAnsi="Times New Roman" w:cs="Times New Roman"/>
              <w:lang w:val="lv-LV"/>
            </w:rPr>
            <w:t>10</w:t>
          </w:r>
          <w:r>
            <w:rPr>
              <w:rFonts w:ascii="Times New Roman" w:hAnsi="Times New Roman" w:cs="Times New Roman"/>
              <w:lang w:val="lv-LV"/>
            </w:rPr>
            <w:fldChar w:fldCharType="end"/>
          </w:r>
          <w:r>
            <w:rPr>
              <w:rFonts w:ascii="Times New Roman" w:hAnsi="Times New Roman" w:cs="Times New Roman"/>
              <w:lang w:val="lv-LV"/>
            </w:rPr>
            <w:fldChar w:fldCharType="end"/>
          </w:r>
        </w:p>
        <w:p w14:paraId="4C06A7C9">
          <w:pPr>
            <w:pStyle w:val="22"/>
            <w:tabs>
              <w:tab w:val="left" w:pos="480"/>
              <w:tab w:val="right" w:leader="dot" w:pos="9350"/>
            </w:tabs>
            <w:rPr>
              <w:rFonts w:ascii="Times New Roman" w:hAnsi="Times New Roman" w:cs="Times New Roman" w:eastAsiaTheme="minorEastAsia"/>
              <w:lang w:val="lv-LV"/>
            </w:rPr>
          </w:pPr>
          <w:r>
            <w:fldChar w:fldCharType="begin"/>
          </w:r>
          <w:r>
            <w:instrText xml:space="preserve"> HYPERLINK \l "_Toc235703250" </w:instrText>
          </w:r>
          <w:r>
            <w:fldChar w:fldCharType="separate"/>
          </w:r>
          <w:r>
            <w:rPr>
              <w:rStyle w:val="18"/>
              <w:rFonts w:ascii="Times New Roman" w:hAnsi="Times New Roman" w:cs="Times New Roman"/>
              <w:lang w:val="lv-LV"/>
            </w:rPr>
            <w:t>4.</w:t>
          </w:r>
          <w:r>
            <w:rPr>
              <w:rFonts w:ascii="Times New Roman" w:hAnsi="Times New Roman" w:cs="Times New Roman" w:eastAsiaTheme="minorEastAsia"/>
              <w:lang w:val="lv-LV"/>
            </w:rPr>
            <w:tab/>
          </w:r>
          <w:r>
            <w:rPr>
              <w:rStyle w:val="18"/>
              <w:rFonts w:ascii="Times New Roman" w:hAnsi="Times New Roman" w:cs="Times New Roman"/>
              <w:lang w:val="lv-LV"/>
            </w:rPr>
            <w:t>Pretendenta pienākumi un tiesības</w:t>
          </w:r>
          <w:r>
            <w:rPr>
              <w:rFonts w:ascii="Times New Roman" w:hAnsi="Times New Roman" w:cs="Times New Roman"/>
              <w:lang w:val="lv-LV"/>
            </w:rPr>
            <w:tab/>
          </w:r>
          <w:r>
            <w:rPr>
              <w:rFonts w:ascii="Times New Roman" w:hAnsi="Times New Roman" w:cs="Times New Roman"/>
              <w:lang w:val="lv-LV"/>
            </w:rPr>
            <w:fldChar w:fldCharType="begin"/>
          </w:r>
          <w:r>
            <w:rPr>
              <w:rFonts w:ascii="Times New Roman" w:hAnsi="Times New Roman" w:cs="Times New Roman"/>
              <w:lang w:val="lv-LV"/>
            </w:rPr>
            <w:instrText xml:space="preserve"> PAGEREF _Toc235703250 \h </w:instrText>
          </w:r>
          <w:r>
            <w:rPr>
              <w:rFonts w:ascii="Times New Roman" w:hAnsi="Times New Roman" w:cs="Times New Roman"/>
              <w:lang w:val="lv-LV"/>
            </w:rPr>
            <w:fldChar w:fldCharType="separate"/>
          </w:r>
          <w:r>
            <w:rPr>
              <w:rFonts w:ascii="Times New Roman" w:hAnsi="Times New Roman" w:cs="Times New Roman"/>
              <w:lang w:val="lv-LV"/>
            </w:rPr>
            <w:t>11</w:t>
          </w:r>
          <w:r>
            <w:rPr>
              <w:rFonts w:ascii="Times New Roman" w:hAnsi="Times New Roman" w:cs="Times New Roman"/>
              <w:lang w:val="lv-LV"/>
            </w:rPr>
            <w:fldChar w:fldCharType="end"/>
          </w:r>
          <w:r>
            <w:rPr>
              <w:rFonts w:ascii="Times New Roman" w:hAnsi="Times New Roman" w:cs="Times New Roman"/>
              <w:lang w:val="lv-LV"/>
            </w:rPr>
            <w:fldChar w:fldCharType="end"/>
          </w:r>
        </w:p>
        <w:p w14:paraId="365FACC7">
          <w:pPr>
            <w:pStyle w:val="22"/>
            <w:tabs>
              <w:tab w:val="left" w:pos="480"/>
              <w:tab w:val="right" w:leader="dot" w:pos="9350"/>
            </w:tabs>
            <w:rPr>
              <w:rFonts w:ascii="Times New Roman" w:hAnsi="Times New Roman" w:cs="Times New Roman" w:eastAsiaTheme="minorEastAsia"/>
              <w:lang w:val="lv-LV"/>
            </w:rPr>
          </w:pPr>
          <w:r>
            <w:fldChar w:fldCharType="begin"/>
          </w:r>
          <w:r>
            <w:instrText xml:space="preserve"> HYPERLINK \l "_Toc235703251" </w:instrText>
          </w:r>
          <w:r>
            <w:fldChar w:fldCharType="separate"/>
          </w:r>
          <w:r>
            <w:rPr>
              <w:rStyle w:val="18"/>
              <w:rFonts w:ascii="Times New Roman" w:hAnsi="Times New Roman" w:cs="Times New Roman"/>
              <w:lang w:val="lv-LV"/>
            </w:rPr>
            <w:t>5.</w:t>
          </w:r>
          <w:r>
            <w:rPr>
              <w:rFonts w:ascii="Times New Roman" w:hAnsi="Times New Roman" w:cs="Times New Roman" w:eastAsiaTheme="minorEastAsia"/>
              <w:lang w:val="lv-LV"/>
            </w:rPr>
            <w:tab/>
          </w:r>
          <w:r>
            <w:rPr>
              <w:rStyle w:val="18"/>
              <w:rFonts w:ascii="Times New Roman" w:hAnsi="Times New Roman" w:cs="Times New Roman"/>
              <w:lang w:val="lv-LV"/>
            </w:rPr>
            <w:t>Pretendenta kvalifikācija</w:t>
          </w:r>
          <w:r>
            <w:rPr>
              <w:rFonts w:ascii="Times New Roman" w:hAnsi="Times New Roman" w:cs="Times New Roman"/>
              <w:lang w:val="lv-LV"/>
            </w:rPr>
            <w:tab/>
          </w:r>
          <w:r>
            <w:rPr>
              <w:rFonts w:ascii="Times New Roman" w:hAnsi="Times New Roman" w:cs="Times New Roman"/>
              <w:lang w:val="lv-LV"/>
            </w:rPr>
            <w:fldChar w:fldCharType="begin"/>
          </w:r>
          <w:r>
            <w:rPr>
              <w:rFonts w:ascii="Times New Roman" w:hAnsi="Times New Roman" w:cs="Times New Roman"/>
              <w:lang w:val="lv-LV"/>
            </w:rPr>
            <w:instrText xml:space="preserve"> PAGEREF _Toc235703251 \h </w:instrText>
          </w:r>
          <w:r>
            <w:rPr>
              <w:rFonts w:ascii="Times New Roman" w:hAnsi="Times New Roman" w:cs="Times New Roman"/>
              <w:lang w:val="lv-LV"/>
            </w:rPr>
            <w:fldChar w:fldCharType="separate"/>
          </w:r>
          <w:r>
            <w:rPr>
              <w:rFonts w:ascii="Times New Roman" w:hAnsi="Times New Roman" w:cs="Times New Roman"/>
              <w:lang w:val="lv-LV"/>
            </w:rPr>
            <w:t>12</w:t>
          </w:r>
          <w:r>
            <w:rPr>
              <w:rFonts w:ascii="Times New Roman" w:hAnsi="Times New Roman" w:cs="Times New Roman"/>
              <w:lang w:val="lv-LV"/>
            </w:rPr>
            <w:fldChar w:fldCharType="end"/>
          </w:r>
          <w:r>
            <w:rPr>
              <w:rFonts w:ascii="Times New Roman" w:hAnsi="Times New Roman" w:cs="Times New Roman"/>
              <w:lang w:val="lv-LV"/>
            </w:rPr>
            <w:fldChar w:fldCharType="end"/>
          </w:r>
        </w:p>
        <w:p w14:paraId="0F741135">
          <w:pPr>
            <w:pStyle w:val="22"/>
            <w:tabs>
              <w:tab w:val="left" w:pos="480"/>
              <w:tab w:val="right" w:leader="dot" w:pos="9350"/>
            </w:tabs>
            <w:rPr>
              <w:rFonts w:ascii="Times New Roman" w:hAnsi="Times New Roman" w:cs="Times New Roman" w:eastAsiaTheme="minorEastAsia"/>
              <w:lang w:val="lv-LV"/>
            </w:rPr>
          </w:pPr>
          <w:r>
            <w:fldChar w:fldCharType="begin"/>
          </w:r>
          <w:r>
            <w:instrText xml:space="preserve"> HYPERLINK \l "_Toc235703252" </w:instrText>
          </w:r>
          <w:r>
            <w:fldChar w:fldCharType="separate"/>
          </w:r>
          <w:r>
            <w:rPr>
              <w:rStyle w:val="18"/>
              <w:rFonts w:ascii="Times New Roman" w:hAnsi="Times New Roman" w:cs="Times New Roman"/>
              <w:lang w:val="lv-LV"/>
            </w:rPr>
            <w:t>6.</w:t>
          </w:r>
          <w:r>
            <w:rPr>
              <w:rFonts w:ascii="Times New Roman" w:hAnsi="Times New Roman" w:cs="Times New Roman" w:eastAsiaTheme="minorEastAsia"/>
              <w:lang w:val="lv-LV"/>
            </w:rPr>
            <w:tab/>
          </w:r>
          <w:r>
            <w:rPr>
              <w:rStyle w:val="18"/>
              <w:rFonts w:ascii="Times New Roman" w:hAnsi="Times New Roman" w:cs="Times New Roman"/>
              <w:lang w:val="lv-LV"/>
            </w:rPr>
            <w:t>Pretendenta izslēgšanas nosacījumi</w:t>
          </w:r>
          <w:r>
            <w:rPr>
              <w:rFonts w:ascii="Times New Roman" w:hAnsi="Times New Roman" w:cs="Times New Roman"/>
              <w:lang w:val="lv-LV"/>
            </w:rPr>
            <w:tab/>
          </w:r>
          <w:r>
            <w:rPr>
              <w:rFonts w:ascii="Times New Roman" w:hAnsi="Times New Roman" w:cs="Times New Roman"/>
              <w:lang w:val="lv-LV"/>
            </w:rPr>
            <w:fldChar w:fldCharType="begin"/>
          </w:r>
          <w:r>
            <w:rPr>
              <w:rFonts w:ascii="Times New Roman" w:hAnsi="Times New Roman" w:cs="Times New Roman"/>
              <w:lang w:val="lv-LV"/>
            </w:rPr>
            <w:instrText xml:space="preserve"> PAGEREF _Toc235703252 \h </w:instrText>
          </w:r>
          <w:r>
            <w:rPr>
              <w:rFonts w:ascii="Times New Roman" w:hAnsi="Times New Roman" w:cs="Times New Roman"/>
              <w:lang w:val="lv-LV"/>
            </w:rPr>
            <w:fldChar w:fldCharType="separate"/>
          </w:r>
          <w:r>
            <w:rPr>
              <w:rFonts w:ascii="Times New Roman" w:hAnsi="Times New Roman" w:cs="Times New Roman"/>
              <w:lang w:val="lv-LV"/>
            </w:rPr>
            <w:t>14</w:t>
          </w:r>
          <w:r>
            <w:rPr>
              <w:rFonts w:ascii="Times New Roman" w:hAnsi="Times New Roman" w:cs="Times New Roman"/>
              <w:lang w:val="lv-LV"/>
            </w:rPr>
            <w:fldChar w:fldCharType="end"/>
          </w:r>
          <w:r>
            <w:rPr>
              <w:rFonts w:ascii="Times New Roman" w:hAnsi="Times New Roman" w:cs="Times New Roman"/>
              <w:lang w:val="lv-LV"/>
            </w:rPr>
            <w:fldChar w:fldCharType="end"/>
          </w:r>
        </w:p>
        <w:p w14:paraId="72C4D998">
          <w:pPr>
            <w:pStyle w:val="22"/>
            <w:tabs>
              <w:tab w:val="left" w:pos="480"/>
              <w:tab w:val="right" w:leader="dot" w:pos="9350"/>
            </w:tabs>
            <w:rPr>
              <w:rFonts w:ascii="Times New Roman" w:hAnsi="Times New Roman" w:cs="Times New Roman" w:eastAsiaTheme="minorEastAsia"/>
              <w:lang w:val="lv-LV"/>
            </w:rPr>
          </w:pPr>
          <w:r>
            <w:fldChar w:fldCharType="begin"/>
          </w:r>
          <w:r>
            <w:instrText xml:space="preserve"> HYPERLINK \l "_Toc235703253" </w:instrText>
          </w:r>
          <w:r>
            <w:fldChar w:fldCharType="separate"/>
          </w:r>
          <w:r>
            <w:rPr>
              <w:rStyle w:val="18"/>
              <w:rFonts w:ascii="Times New Roman" w:hAnsi="Times New Roman" w:cs="Times New Roman"/>
              <w:lang w:val="lv-LV"/>
            </w:rPr>
            <w:t>7.</w:t>
          </w:r>
          <w:r>
            <w:rPr>
              <w:rFonts w:ascii="Times New Roman" w:hAnsi="Times New Roman" w:cs="Times New Roman" w:eastAsiaTheme="minorEastAsia"/>
              <w:lang w:val="lv-LV"/>
            </w:rPr>
            <w:tab/>
          </w:r>
          <w:r>
            <w:rPr>
              <w:rStyle w:val="18"/>
              <w:rFonts w:ascii="Times New Roman" w:hAnsi="Times New Roman" w:cs="Times New Roman"/>
              <w:lang w:val="lv-LV"/>
            </w:rPr>
            <w:t>Eiropas vienotais iepirkuma procedūras dokuments</w:t>
          </w:r>
          <w:r>
            <w:rPr>
              <w:rFonts w:ascii="Times New Roman" w:hAnsi="Times New Roman" w:cs="Times New Roman"/>
              <w:lang w:val="lv-LV"/>
            </w:rPr>
            <w:tab/>
          </w:r>
          <w:r>
            <w:rPr>
              <w:rFonts w:ascii="Times New Roman" w:hAnsi="Times New Roman" w:cs="Times New Roman"/>
              <w:lang w:val="lv-LV"/>
            </w:rPr>
            <w:fldChar w:fldCharType="begin"/>
          </w:r>
          <w:r>
            <w:rPr>
              <w:rFonts w:ascii="Times New Roman" w:hAnsi="Times New Roman" w:cs="Times New Roman"/>
              <w:lang w:val="lv-LV"/>
            </w:rPr>
            <w:instrText xml:space="preserve"> PAGEREF _Toc235703253 \h </w:instrText>
          </w:r>
          <w:r>
            <w:rPr>
              <w:rFonts w:ascii="Times New Roman" w:hAnsi="Times New Roman" w:cs="Times New Roman"/>
              <w:lang w:val="lv-LV"/>
            </w:rPr>
            <w:fldChar w:fldCharType="separate"/>
          </w:r>
          <w:r>
            <w:rPr>
              <w:rFonts w:ascii="Times New Roman" w:hAnsi="Times New Roman" w:cs="Times New Roman"/>
              <w:lang w:val="lv-LV"/>
            </w:rPr>
            <w:t>16</w:t>
          </w:r>
          <w:r>
            <w:rPr>
              <w:rFonts w:ascii="Times New Roman" w:hAnsi="Times New Roman" w:cs="Times New Roman"/>
              <w:lang w:val="lv-LV"/>
            </w:rPr>
            <w:fldChar w:fldCharType="end"/>
          </w:r>
          <w:r>
            <w:rPr>
              <w:rFonts w:ascii="Times New Roman" w:hAnsi="Times New Roman" w:cs="Times New Roman"/>
              <w:lang w:val="lv-LV"/>
            </w:rPr>
            <w:fldChar w:fldCharType="end"/>
          </w:r>
        </w:p>
        <w:p w14:paraId="04DC9708">
          <w:pPr>
            <w:pStyle w:val="22"/>
            <w:tabs>
              <w:tab w:val="left" w:pos="480"/>
              <w:tab w:val="right" w:leader="dot" w:pos="9350"/>
            </w:tabs>
            <w:rPr>
              <w:rFonts w:ascii="Times New Roman" w:hAnsi="Times New Roman" w:cs="Times New Roman" w:eastAsiaTheme="minorEastAsia"/>
              <w:lang w:val="lv-LV"/>
            </w:rPr>
          </w:pPr>
          <w:r>
            <w:fldChar w:fldCharType="begin"/>
          </w:r>
          <w:r>
            <w:instrText xml:space="preserve"> HYPERLINK \l "_Toc235703254" </w:instrText>
          </w:r>
          <w:r>
            <w:fldChar w:fldCharType="separate"/>
          </w:r>
          <w:r>
            <w:rPr>
              <w:rStyle w:val="18"/>
              <w:rFonts w:ascii="Times New Roman" w:hAnsi="Times New Roman" w:cs="Times New Roman"/>
              <w:lang w:val="lv-LV"/>
            </w:rPr>
            <w:t>8.</w:t>
          </w:r>
          <w:r>
            <w:rPr>
              <w:rFonts w:ascii="Times New Roman" w:hAnsi="Times New Roman" w:cs="Times New Roman" w:eastAsiaTheme="minorEastAsia"/>
              <w:lang w:val="lv-LV"/>
            </w:rPr>
            <w:tab/>
          </w:r>
          <w:r>
            <w:rPr>
              <w:rStyle w:val="18"/>
              <w:rFonts w:ascii="Times New Roman" w:hAnsi="Times New Roman" w:cs="Times New Roman"/>
              <w:lang w:val="lv-LV"/>
            </w:rPr>
            <w:t>Piedāvājumu vērtēšanas un izvēles kritēriji</w:t>
          </w:r>
          <w:r>
            <w:rPr>
              <w:rFonts w:ascii="Times New Roman" w:hAnsi="Times New Roman" w:cs="Times New Roman"/>
              <w:lang w:val="lv-LV"/>
            </w:rPr>
            <w:tab/>
          </w:r>
          <w:r>
            <w:rPr>
              <w:rFonts w:ascii="Times New Roman" w:hAnsi="Times New Roman" w:cs="Times New Roman"/>
              <w:lang w:val="lv-LV"/>
            </w:rPr>
            <w:fldChar w:fldCharType="begin"/>
          </w:r>
          <w:r>
            <w:rPr>
              <w:rFonts w:ascii="Times New Roman" w:hAnsi="Times New Roman" w:cs="Times New Roman"/>
              <w:lang w:val="lv-LV"/>
            </w:rPr>
            <w:instrText xml:space="preserve"> PAGEREF _Toc235703254 \h </w:instrText>
          </w:r>
          <w:r>
            <w:rPr>
              <w:rFonts w:ascii="Times New Roman" w:hAnsi="Times New Roman" w:cs="Times New Roman"/>
              <w:lang w:val="lv-LV"/>
            </w:rPr>
            <w:fldChar w:fldCharType="separate"/>
          </w:r>
          <w:r>
            <w:rPr>
              <w:rFonts w:ascii="Times New Roman" w:hAnsi="Times New Roman" w:cs="Times New Roman"/>
              <w:lang w:val="lv-LV"/>
            </w:rPr>
            <w:t>17</w:t>
          </w:r>
          <w:r>
            <w:rPr>
              <w:rFonts w:ascii="Times New Roman" w:hAnsi="Times New Roman" w:cs="Times New Roman"/>
              <w:lang w:val="lv-LV"/>
            </w:rPr>
            <w:fldChar w:fldCharType="end"/>
          </w:r>
          <w:r>
            <w:rPr>
              <w:rFonts w:ascii="Times New Roman" w:hAnsi="Times New Roman" w:cs="Times New Roman"/>
              <w:lang w:val="lv-LV"/>
            </w:rPr>
            <w:fldChar w:fldCharType="end"/>
          </w:r>
        </w:p>
        <w:p w14:paraId="1D9AB64C">
          <w:pPr>
            <w:pStyle w:val="22"/>
            <w:tabs>
              <w:tab w:val="left" w:pos="480"/>
              <w:tab w:val="right" w:leader="dot" w:pos="9350"/>
            </w:tabs>
            <w:rPr>
              <w:rFonts w:ascii="Times New Roman" w:hAnsi="Times New Roman" w:cs="Times New Roman" w:eastAsiaTheme="minorEastAsia"/>
              <w:lang w:val="lv-LV"/>
            </w:rPr>
          </w:pPr>
          <w:r>
            <w:fldChar w:fldCharType="begin"/>
          </w:r>
          <w:r>
            <w:instrText xml:space="preserve"> HYPERLINK \l "_Toc235703255" </w:instrText>
          </w:r>
          <w:r>
            <w:fldChar w:fldCharType="separate"/>
          </w:r>
          <w:r>
            <w:rPr>
              <w:rStyle w:val="18"/>
              <w:rFonts w:ascii="Times New Roman" w:hAnsi="Times New Roman" w:cs="Times New Roman"/>
              <w:lang w:val="lv-LV"/>
            </w:rPr>
            <w:t>9.</w:t>
          </w:r>
          <w:r>
            <w:rPr>
              <w:rFonts w:ascii="Times New Roman" w:hAnsi="Times New Roman" w:cs="Times New Roman" w:eastAsiaTheme="minorEastAsia"/>
              <w:lang w:val="lv-LV"/>
            </w:rPr>
            <w:tab/>
          </w:r>
          <w:r>
            <w:rPr>
              <w:rStyle w:val="18"/>
              <w:rFonts w:ascii="Times New Roman" w:hAnsi="Times New Roman" w:cs="Times New Roman"/>
              <w:lang w:val="lv-LV"/>
            </w:rPr>
            <w:t>Iepirkuma līgums</w:t>
          </w:r>
          <w:r>
            <w:rPr>
              <w:rFonts w:ascii="Times New Roman" w:hAnsi="Times New Roman" w:cs="Times New Roman"/>
              <w:lang w:val="lv-LV"/>
            </w:rPr>
            <w:tab/>
          </w:r>
          <w:r>
            <w:rPr>
              <w:rFonts w:ascii="Times New Roman" w:hAnsi="Times New Roman" w:cs="Times New Roman"/>
              <w:lang w:val="lv-LV"/>
            </w:rPr>
            <w:fldChar w:fldCharType="begin"/>
          </w:r>
          <w:r>
            <w:rPr>
              <w:rFonts w:ascii="Times New Roman" w:hAnsi="Times New Roman" w:cs="Times New Roman"/>
              <w:lang w:val="lv-LV"/>
            </w:rPr>
            <w:instrText xml:space="preserve"> PAGEREF _Toc235703255 \h </w:instrText>
          </w:r>
          <w:r>
            <w:rPr>
              <w:rFonts w:ascii="Times New Roman" w:hAnsi="Times New Roman" w:cs="Times New Roman"/>
              <w:lang w:val="lv-LV"/>
            </w:rPr>
            <w:fldChar w:fldCharType="separate"/>
          </w:r>
          <w:r>
            <w:rPr>
              <w:rFonts w:ascii="Times New Roman" w:hAnsi="Times New Roman" w:cs="Times New Roman"/>
              <w:lang w:val="lv-LV"/>
            </w:rPr>
            <w:t>21</w:t>
          </w:r>
          <w:r>
            <w:rPr>
              <w:rFonts w:ascii="Times New Roman" w:hAnsi="Times New Roman" w:cs="Times New Roman"/>
              <w:lang w:val="lv-LV"/>
            </w:rPr>
            <w:fldChar w:fldCharType="end"/>
          </w:r>
          <w:r>
            <w:rPr>
              <w:rFonts w:ascii="Times New Roman" w:hAnsi="Times New Roman" w:cs="Times New Roman"/>
              <w:lang w:val="lv-LV"/>
            </w:rPr>
            <w:fldChar w:fldCharType="end"/>
          </w:r>
        </w:p>
        <w:p w14:paraId="5350316A">
          <w:pPr>
            <w:pStyle w:val="22"/>
            <w:tabs>
              <w:tab w:val="left" w:pos="720"/>
              <w:tab w:val="right" w:leader="dot" w:pos="9350"/>
            </w:tabs>
            <w:rPr>
              <w:rFonts w:ascii="Times New Roman" w:hAnsi="Times New Roman" w:cs="Times New Roman" w:eastAsiaTheme="minorEastAsia"/>
              <w:lang w:val="lv-LV"/>
            </w:rPr>
          </w:pPr>
          <w:r>
            <w:fldChar w:fldCharType="begin"/>
          </w:r>
          <w:r>
            <w:instrText xml:space="preserve"> HYPERLINK \l "_Toc235703256" </w:instrText>
          </w:r>
          <w:r>
            <w:fldChar w:fldCharType="separate"/>
          </w:r>
          <w:r>
            <w:rPr>
              <w:rStyle w:val="18"/>
              <w:rFonts w:ascii="Times New Roman" w:hAnsi="Times New Roman" w:cs="Times New Roman"/>
              <w:lang w:val="lv-LV"/>
            </w:rPr>
            <w:t>10.</w:t>
          </w:r>
          <w:r>
            <w:rPr>
              <w:rFonts w:ascii="Times New Roman" w:hAnsi="Times New Roman" w:cs="Times New Roman" w:eastAsiaTheme="minorEastAsia"/>
              <w:lang w:val="lv-LV"/>
            </w:rPr>
            <w:t xml:space="preserve">   </w:t>
          </w:r>
          <w:r>
            <w:rPr>
              <w:rStyle w:val="18"/>
              <w:rFonts w:ascii="Times New Roman" w:hAnsi="Times New Roman" w:cs="Times New Roman"/>
              <w:lang w:val="lv-LV"/>
            </w:rPr>
            <w:t>Apakšuzņēmēju nomaiņas kārtība</w:t>
          </w:r>
          <w:r>
            <w:rPr>
              <w:rFonts w:ascii="Times New Roman" w:hAnsi="Times New Roman" w:cs="Times New Roman"/>
              <w:lang w:val="lv-LV"/>
            </w:rPr>
            <w:tab/>
          </w:r>
          <w:r>
            <w:rPr>
              <w:rFonts w:ascii="Times New Roman" w:hAnsi="Times New Roman" w:cs="Times New Roman"/>
              <w:lang w:val="lv-LV"/>
            </w:rPr>
            <w:fldChar w:fldCharType="begin"/>
          </w:r>
          <w:r>
            <w:rPr>
              <w:rFonts w:ascii="Times New Roman" w:hAnsi="Times New Roman" w:cs="Times New Roman"/>
              <w:lang w:val="lv-LV"/>
            </w:rPr>
            <w:instrText xml:space="preserve"> PAGEREF _Toc235703256 \h </w:instrText>
          </w:r>
          <w:r>
            <w:rPr>
              <w:rFonts w:ascii="Times New Roman" w:hAnsi="Times New Roman" w:cs="Times New Roman"/>
              <w:lang w:val="lv-LV"/>
            </w:rPr>
            <w:fldChar w:fldCharType="separate"/>
          </w:r>
          <w:r>
            <w:rPr>
              <w:rFonts w:ascii="Times New Roman" w:hAnsi="Times New Roman" w:cs="Times New Roman"/>
              <w:lang w:val="lv-LV"/>
            </w:rPr>
            <w:t>21</w:t>
          </w:r>
          <w:r>
            <w:rPr>
              <w:rFonts w:ascii="Times New Roman" w:hAnsi="Times New Roman" w:cs="Times New Roman"/>
              <w:lang w:val="lv-LV"/>
            </w:rPr>
            <w:fldChar w:fldCharType="end"/>
          </w:r>
          <w:r>
            <w:rPr>
              <w:rFonts w:ascii="Times New Roman" w:hAnsi="Times New Roman" w:cs="Times New Roman"/>
              <w:lang w:val="lv-LV"/>
            </w:rPr>
            <w:fldChar w:fldCharType="end"/>
          </w:r>
        </w:p>
        <w:p w14:paraId="46848500">
          <w:pPr>
            <w:pStyle w:val="22"/>
            <w:tabs>
              <w:tab w:val="left" w:pos="720"/>
              <w:tab w:val="right" w:leader="dot" w:pos="9350"/>
            </w:tabs>
            <w:rPr>
              <w:rFonts w:ascii="Times New Roman" w:hAnsi="Times New Roman" w:cs="Times New Roman" w:eastAsiaTheme="minorEastAsia"/>
              <w:lang w:val="lv-LV"/>
            </w:rPr>
          </w:pPr>
          <w:r>
            <w:fldChar w:fldCharType="begin"/>
          </w:r>
          <w:r>
            <w:instrText xml:space="preserve"> HYPERLINK \l "_Toc235703257" </w:instrText>
          </w:r>
          <w:r>
            <w:fldChar w:fldCharType="separate"/>
          </w:r>
          <w:r>
            <w:rPr>
              <w:rStyle w:val="18"/>
              <w:rFonts w:ascii="Times New Roman" w:hAnsi="Times New Roman" w:cs="Times New Roman"/>
              <w:lang w:val="lv-LV"/>
            </w:rPr>
            <w:t>11.</w:t>
          </w:r>
          <w:r>
            <w:rPr>
              <w:rFonts w:ascii="Times New Roman" w:hAnsi="Times New Roman" w:cs="Times New Roman" w:eastAsiaTheme="minorEastAsia"/>
              <w:lang w:val="lv-LV"/>
            </w:rPr>
            <w:t xml:space="preserve">   </w:t>
          </w:r>
          <w:r>
            <w:rPr>
              <w:rStyle w:val="18"/>
              <w:rFonts w:ascii="Times New Roman" w:hAnsi="Times New Roman" w:cs="Times New Roman"/>
              <w:lang w:val="lv-LV"/>
            </w:rPr>
            <w:t>Citi nosacījumi</w:t>
          </w:r>
          <w:r>
            <w:rPr>
              <w:rFonts w:ascii="Times New Roman" w:hAnsi="Times New Roman" w:cs="Times New Roman"/>
              <w:lang w:val="lv-LV"/>
            </w:rPr>
            <w:tab/>
          </w:r>
          <w:r>
            <w:rPr>
              <w:rFonts w:ascii="Times New Roman" w:hAnsi="Times New Roman" w:cs="Times New Roman"/>
              <w:lang w:val="lv-LV"/>
            </w:rPr>
            <w:fldChar w:fldCharType="begin"/>
          </w:r>
          <w:r>
            <w:rPr>
              <w:rFonts w:ascii="Times New Roman" w:hAnsi="Times New Roman" w:cs="Times New Roman"/>
              <w:lang w:val="lv-LV"/>
            </w:rPr>
            <w:instrText xml:space="preserve"> PAGEREF _Toc235703257 \h </w:instrText>
          </w:r>
          <w:r>
            <w:rPr>
              <w:rFonts w:ascii="Times New Roman" w:hAnsi="Times New Roman" w:cs="Times New Roman"/>
              <w:lang w:val="lv-LV"/>
            </w:rPr>
            <w:fldChar w:fldCharType="separate"/>
          </w:r>
          <w:r>
            <w:rPr>
              <w:rFonts w:ascii="Times New Roman" w:hAnsi="Times New Roman" w:cs="Times New Roman"/>
              <w:lang w:val="lv-LV"/>
            </w:rPr>
            <w:t>22</w:t>
          </w:r>
          <w:r>
            <w:rPr>
              <w:rFonts w:ascii="Times New Roman" w:hAnsi="Times New Roman" w:cs="Times New Roman"/>
              <w:lang w:val="lv-LV"/>
            </w:rPr>
            <w:fldChar w:fldCharType="end"/>
          </w:r>
          <w:r>
            <w:rPr>
              <w:rFonts w:ascii="Times New Roman" w:hAnsi="Times New Roman" w:cs="Times New Roman"/>
              <w:lang w:val="lv-LV"/>
            </w:rPr>
            <w:fldChar w:fldCharType="end"/>
          </w:r>
        </w:p>
        <w:p w14:paraId="64EF3481">
          <w:pPr>
            <w:pStyle w:val="22"/>
            <w:tabs>
              <w:tab w:val="left" w:pos="720"/>
              <w:tab w:val="right" w:leader="dot" w:pos="9350"/>
            </w:tabs>
            <w:rPr>
              <w:rFonts w:ascii="Times New Roman" w:hAnsi="Times New Roman" w:cs="Times New Roman" w:eastAsiaTheme="minorEastAsia"/>
              <w:lang w:val="lv-LV"/>
            </w:rPr>
          </w:pPr>
          <w:r>
            <w:fldChar w:fldCharType="begin"/>
          </w:r>
          <w:r>
            <w:instrText xml:space="preserve"> HYPERLINK \l "_Toc235703258" </w:instrText>
          </w:r>
          <w:r>
            <w:fldChar w:fldCharType="separate"/>
          </w:r>
          <w:r>
            <w:rPr>
              <w:rStyle w:val="18"/>
              <w:rFonts w:ascii="Times New Roman" w:hAnsi="Times New Roman" w:cs="Times New Roman"/>
              <w:lang w:val="lv-LV"/>
            </w:rPr>
            <w:t>12.</w:t>
          </w:r>
          <w:r>
            <w:rPr>
              <w:rFonts w:ascii="Times New Roman" w:hAnsi="Times New Roman" w:cs="Times New Roman" w:eastAsiaTheme="minorEastAsia"/>
              <w:lang w:val="lv-LV"/>
            </w:rPr>
            <w:t xml:space="preserve">   </w:t>
          </w:r>
          <w:r>
            <w:rPr>
              <w:rStyle w:val="18"/>
              <w:rFonts w:ascii="Times New Roman" w:hAnsi="Times New Roman" w:cs="Times New Roman"/>
              <w:lang w:val="lv-LV"/>
            </w:rPr>
            <w:t>Pielikumi</w:t>
          </w:r>
          <w:r>
            <w:rPr>
              <w:rFonts w:ascii="Times New Roman" w:hAnsi="Times New Roman" w:cs="Times New Roman"/>
              <w:lang w:val="lv-LV"/>
            </w:rPr>
            <w:tab/>
          </w:r>
          <w:r>
            <w:rPr>
              <w:rFonts w:ascii="Times New Roman" w:hAnsi="Times New Roman" w:cs="Times New Roman"/>
              <w:lang w:val="lv-LV"/>
            </w:rPr>
            <w:fldChar w:fldCharType="begin"/>
          </w:r>
          <w:r>
            <w:rPr>
              <w:rFonts w:ascii="Times New Roman" w:hAnsi="Times New Roman" w:cs="Times New Roman"/>
              <w:lang w:val="lv-LV"/>
            </w:rPr>
            <w:instrText xml:space="preserve"> PAGEREF _Toc235703258 \h </w:instrText>
          </w:r>
          <w:r>
            <w:rPr>
              <w:rFonts w:ascii="Times New Roman" w:hAnsi="Times New Roman" w:cs="Times New Roman"/>
              <w:lang w:val="lv-LV"/>
            </w:rPr>
            <w:fldChar w:fldCharType="separate"/>
          </w:r>
          <w:r>
            <w:rPr>
              <w:rFonts w:ascii="Times New Roman" w:hAnsi="Times New Roman" w:cs="Times New Roman"/>
              <w:lang w:val="lv-LV"/>
            </w:rPr>
            <w:t>23</w:t>
          </w:r>
          <w:r>
            <w:rPr>
              <w:rFonts w:ascii="Times New Roman" w:hAnsi="Times New Roman" w:cs="Times New Roman"/>
              <w:lang w:val="lv-LV"/>
            </w:rPr>
            <w:fldChar w:fldCharType="end"/>
          </w:r>
          <w:r>
            <w:rPr>
              <w:rFonts w:ascii="Times New Roman" w:hAnsi="Times New Roman" w:cs="Times New Roman"/>
              <w:lang w:val="lv-LV"/>
            </w:rPr>
            <w:fldChar w:fldCharType="end"/>
          </w:r>
        </w:p>
        <w:p w14:paraId="47BE1B18">
          <w:pPr>
            <w:rPr>
              <w:lang w:val="lv-LV"/>
            </w:rPr>
          </w:pPr>
          <w:r>
            <w:rPr>
              <w:rFonts w:ascii="Times New Roman" w:hAnsi="Times New Roman" w:cs="Times New Roman"/>
              <w:lang w:val="lv-LV"/>
            </w:rPr>
            <w:fldChar w:fldCharType="end"/>
          </w:r>
        </w:p>
      </w:sdtContent>
    </w:sdt>
    <w:p w14:paraId="63224693">
      <w:pPr>
        <w:spacing w:after="0" w:line="240" w:lineRule="auto"/>
        <w:jc w:val="center"/>
        <w:rPr>
          <w:rFonts w:ascii="Times New Roman" w:hAnsi="Times New Roman" w:cs="Times New Roman"/>
          <w:lang w:val="lv-LV"/>
        </w:rPr>
      </w:pPr>
    </w:p>
    <w:p w14:paraId="34FA73F5">
      <w:pPr>
        <w:spacing w:after="0" w:line="240" w:lineRule="auto"/>
        <w:rPr>
          <w:rFonts w:ascii="Times New Roman" w:hAnsi="Times New Roman" w:cs="Times New Roman"/>
          <w:b/>
          <w:bCs/>
          <w:lang w:val="lv-LV"/>
        </w:rPr>
      </w:pPr>
    </w:p>
    <w:p w14:paraId="073F4FD4">
      <w:pPr>
        <w:spacing w:after="0" w:line="240" w:lineRule="auto"/>
        <w:rPr>
          <w:rFonts w:ascii="Times New Roman" w:hAnsi="Times New Roman" w:cs="Times New Roman"/>
          <w:b/>
          <w:bCs/>
          <w:lang w:val="lv-LV"/>
        </w:rPr>
      </w:pPr>
    </w:p>
    <w:p w14:paraId="22E638FB">
      <w:pPr>
        <w:spacing w:after="0" w:line="240" w:lineRule="auto"/>
        <w:rPr>
          <w:rFonts w:ascii="Times New Roman" w:hAnsi="Times New Roman" w:cs="Times New Roman"/>
          <w:b/>
          <w:bCs/>
          <w:lang w:val="lv-LV"/>
        </w:rPr>
      </w:pPr>
    </w:p>
    <w:p w14:paraId="7524BB2A">
      <w:pPr>
        <w:spacing w:after="0" w:line="240" w:lineRule="auto"/>
        <w:rPr>
          <w:rFonts w:ascii="Times New Roman" w:hAnsi="Times New Roman" w:cs="Times New Roman"/>
          <w:b/>
          <w:bCs/>
          <w:lang w:val="lv-LV"/>
        </w:rPr>
      </w:pPr>
    </w:p>
    <w:p w14:paraId="1D2D2D20">
      <w:pPr>
        <w:spacing w:after="0" w:line="240" w:lineRule="auto"/>
        <w:rPr>
          <w:rFonts w:ascii="Times New Roman" w:hAnsi="Times New Roman" w:cs="Times New Roman"/>
          <w:b/>
          <w:bCs/>
          <w:lang w:val="lv-LV"/>
        </w:rPr>
      </w:pPr>
    </w:p>
    <w:p w14:paraId="6928E9A2">
      <w:pPr>
        <w:spacing w:after="0" w:line="240" w:lineRule="auto"/>
        <w:rPr>
          <w:rFonts w:ascii="Times New Roman" w:hAnsi="Times New Roman" w:cs="Times New Roman"/>
          <w:b/>
          <w:bCs/>
          <w:lang w:val="lv-LV"/>
        </w:rPr>
      </w:pPr>
    </w:p>
    <w:p w14:paraId="6197D0DA">
      <w:pPr>
        <w:spacing w:after="0" w:line="240" w:lineRule="auto"/>
        <w:rPr>
          <w:rFonts w:ascii="Times New Roman" w:hAnsi="Times New Roman" w:cs="Times New Roman"/>
          <w:b/>
          <w:bCs/>
          <w:lang w:val="lv-LV"/>
        </w:rPr>
      </w:pPr>
    </w:p>
    <w:p w14:paraId="183435B5">
      <w:pPr>
        <w:spacing w:after="0" w:line="240" w:lineRule="auto"/>
        <w:rPr>
          <w:rFonts w:ascii="Times New Roman" w:hAnsi="Times New Roman" w:cs="Times New Roman"/>
          <w:b/>
          <w:bCs/>
          <w:lang w:val="lv-LV"/>
        </w:rPr>
      </w:pPr>
    </w:p>
    <w:p w14:paraId="25FD138F">
      <w:pPr>
        <w:spacing w:after="0" w:line="240" w:lineRule="auto"/>
        <w:rPr>
          <w:rFonts w:ascii="Times New Roman" w:hAnsi="Times New Roman" w:cs="Times New Roman"/>
          <w:b/>
          <w:bCs/>
          <w:lang w:val="lv-LV"/>
        </w:rPr>
      </w:pPr>
    </w:p>
    <w:p w14:paraId="78E40E44">
      <w:pPr>
        <w:spacing w:after="0" w:line="240" w:lineRule="auto"/>
        <w:rPr>
          <w:rFonts w:ascii="Times New Roman" w:hAnsi="Times New Roman" w:cs="Times New Roman"/>
          <w:b/>
          <w:bCs/>
          <w:lang w:val="lv-LV"/>
        </w:rPr>
      </w:pPr>
    </w:p>
    <w:p w14:paraId="6004452E">
      <w:pPr>
        <w:spacing w:after="0" w:line="240" w:lineRule="auto"/>
        <w:rPr>
          <w:rFonts w:ascii="Times New Roman" w:hAnsi="Times New Roman" w:cs="Times New Roman"/>
          <w:b/>
          <w:bCs/>
          <w:lang w:val="lv-LV"/>
        </w:rPr>
      </w:pPr>
    </w:p>
    <w:p w14:paraId="1EDEE6EE">
      <w:pPr>
        <w:spacing w:after="0" w:line="240" w:lineRule="auto"/>
        <w:rPr>
          <w:rFonts w:ascii="Times New Roman" w:hAnsi="Times New Roman" w:cs="Times New Roman"/>
          <w:b/>
          <w:bCs/>
          <w:lang w:val="lv-LV"/>
        </w:rPr>
      </w:pPr>
    </w:p>
    <w:p w14:paraId="684DFD8B">
      <w:pPr>
        <w:spacing w:after="0" w:line="240" w:lineRule="auto"/>
        <w:rPr>
          <w:rFonts w:ascii="Times New Roman" w:hAnsi="Times New Roman" w:cs="Times New Roman"/>
          <w:b/>
          <w:bCs/>
          <w:lang w:val="lv-LV"/>
        </w:rPr>
      </w:pPr>
    </w:p>
    <w:p w14:paraId="1304A979">
      <w:pPr>
        <w:spacing w:after="0" w:line="240" w:lineRule="auto"/>
        <w:rPr>
          <w:rFonts w:ascii="Times New Roman" w:hAnsi="Times New Roman" w:cs="Times New Roman"/>
          <w:b/>
          <w:bCs/>
          <w:lang w:val="lv-LV"/>
        </w:rPr>
      </w:pPr>
    </w:p>
    <w:p w14:paraId="34E6309E">
      <w:pPr>
        <w:spacing w:after="0" w:line="240" w:lineRule="auto"/>
        <w:rPr>
          <w:rFonts w:ascii="Times New Roman" w:hAnsi="Times New Roman" w:cs="Times New Roman"/>
          <w:b/>
          <w:bCs/>
          <w:lang w:val="lv-LV"/>
        </w:rPr>
      </w:pPr>
    </w:p>
    <w:p w14:paraId="7DE3F6EF">
      <w:pPr>
        <w:spacing w:after="0" w:line="240" w:lineRule="auto"/>
        <w:rPr>
          <w:rFonts w:ascii="Times New Roman" w:hAnsi="Times New Roman" w:cs="Times New Roman"/>
          <w:b/>
          <w:bCs/>
          <w:lang w:val="lv-LV"/>
        </w:rPr>
      </w:pPr>
    </w:p>
    <w:p w14:paraId="2D85315A">
      <w:pPr>
        <w:spacing w:after="0" w:line="240" w:lineRule="auto"/>
        <w:rPr>
          <w:rFonts w:ascii="Times New Roman" w:hAnsi="Times New Roman" w:cs="Times New Roman"/>
          <w:b/>
          <w:bCs/>
          <w:lang w:val="lv-LV"/>
        </w:rPr>
      </w:pPr>
    </w:p>
    <w:p w14:paraId="0CA98A04">
      <w:pPr>
        <w:spacing w:after="0" w:line="240" w:lineRule="auto"/>
        <w:rPr>
          <w:rFonts w:ascii="Times New Roman" w:hAnsi="Times New Roman" w:cs="Times New Roman"/>
          <w:b/>
          <w:bCs/>
          <w:lang w:val="lv-LV"/>
        </w:rPr>
      </w:pPr>
    </w:p>
    <w:p w14:paraId="785B2881">
      <w:pPr>
        <w:spacing w:after="0" w:line="240" w:lineRule="auto"/>
        <w:rPr>
          <w:rFonts w:ascii="Times New Roman" w:hAnsi="Times New Roman" w:cs="Times New Roman"/>
          <w:b/>
          <w:bCs/>
          <w:lang w:val="lv-LV"/>
        </w:rPr>
      </w:pPr>
    </w:p>
    <w:p w14:paraId="6411232B">
      <w:pPr>
        <w:spacing w:after="0" w:line="240" w:lineRule="auto"/>
        <w:rPr>
          <w:rFonts w:ascii="Times New Roman" w:hAnsi="Times New Roman" w:cs="Times New Roman"/>
          <w:b/>
          <w:bCs/>
          <w:lang w:val="lv-LV"/>
        </w:rPr>
      </w:pPr>
    </w:p>
    <w:p w14:paraId="26823887">
      <w:pPr>
        <w:spacing w:after="0" w:line="240" w:lineRule="auto"/>
        <w:rPr>
          <w:rFonts w:ascii="Times New Roman" w:hAnsi="Times New Roman" w:cs="Times New Roman"/>
          <w:b/>
          <w:bCs/>
          <w:lang w:val="lv-LV"/>
        </w:rPr>
      </w:pPr>
    </w:p>
    <w:p w14:paraId="053CE8BD">
      <w:pPr>
        <w:spacing w:after="0" w:line="240" w:lineRule="auto"/>
        <w:rPr>
          <w:rFonts w:ascii="Times New Roman" w:hAnsi="Times New Roman" w:cs="Times New Roman"/>
          <w:b/>
          <w:bCs/>
          <w:lang w:val="lv-LV"/>
        </w:rPr>
      </w:pPr>
    </w:p>
    <w:p w14:paraId="69C30D5A">
      <w:pPr>
        <w:spacing w:after="0" w:line="240" w:lineRule="auto"/>
        <w:rPr>
          <w:rFonts w:ascii="Times New Roman" w:hAnsi="Times New Roman" w:cs="Times New Roman"/>
          <w:b/>
          <w:bCs/>
          <w:lang w:val="lv-LV"/>
        </w:rPr>
      </w:pPr>
    </w:p>
    <w:p w14:paraId="7AE436B8">
      <w:pPr>
        <w:pStyle w:val="2"/>
        <w:numPr>
          <w:ilvl w:val="0"/>
          <w:numId w:val="1"/>
        </w:numPr>
        <w:spacing w:before="0" w:after="0"/>
        <w:jc w:val="center"/>
        <w:rPr>
          <w:rFonts w:ascii="Times New Roman" w:hAnsi="Times New Roman" w:cs="Times New Roman"/>
          <w:b/>
          <w:bCs/>
          <w:color w:val="000000" w:themeColor="text1"/>
          <w:sz w:val="28"/>
          <w:szCs w:val="28"/>
          <w:lang w:val="lv-LV"/>
          <w14:textFill>
            <w14:solidFill>
              <w14:schemeClr w14:val="tx1"/>
            </w14:solidFill>
          </w14:textFill>
        </w:rPr>
      </w:pPr>
      <w:bookmarkStart w:id="0" w:name="_Toc235703247"/>
      <w:r>
        <w:rPr>
          <w:rFonts w:ascii="Times New Roman" w:hAnsi="Times New Roman" w:cs="Times New Roman"/>
          <w:b/>
          <w:bCs/>
          <w:color w:val="000000" w:themeColor="text1"/>
          <w:sz w:val="28"/>
          <w:szCs w:val="28"/>
          <w:lang w:val="lv-LV"/>
          <w14:textFill>
            <w14:solidFill>
              <w14:schemeClr w14:val="tx1"/>
            </w14:solidFill>
          </w14:textFill>
        </w:rPr>
        <w:t>Vispārīgā informācija</w:t>
      </w:r>
      <w:bookmarkEnd w:id="0"/>
    </w:p>
    <w:p w14:paraId="201428CE">
      <w:pPr>
        <w:spacing w:after="0" w:line="360" w:lineRule="auto"/>
        <w:jc w:val="both"/>
        <w:rPr>
          <w:rFonts w:ascii="Times New Roman" w:hAnsi="Times New Roman" w:cs="Times New Roman"/>
          <w:lang w:val="lv-LV"/>
        </w:rPr>
      </w:pPr>
    </w:p>
    <w:p w14:paraId="406E3955">
      <w:pPr>
        <w:spacing w:after="0" w:line="360" w:lineRule="auto"/>
        <w:jc w:val="both"/>
        <w:rPr>
          <w:rFonts w:ascii="Times New Roman" w:hAnsi="Times New Roman" w:cs="Times New Roman"/>
          <w:lang w:val="lv-LV"/>
        </w:rPr>
      </w:pPr>
      <w:r>
        <w:rPr>
          <w:rFonts w:ascii="Times New Roman" w:hAnsi="Times New Roman" w:cs="Times New Roman"/>
          <w:lang w:val="lv-LV"/>
        </w:rPr>
        <w:t xml:space="preserve">1.1. Sabiedrības ar ierobežotu atbildību “Bulduru Tehnikums” iepirkums Energoefektivitātes paaugstināšanas projekta </w:t>
      </w:r>
      <w:r>
        <w:rPr>
          <w:rFonts w:ascii="Times New Roman" w:hAnsi="Times New Roman" w:cs="Times New Roman"/>
        </w:rPr>
        <w:t>SIA “Bulduru Tehnikums” ēku energoefektivitātes paaugstināšanas  projekta vadība un tehniskais atbalsts</w:t>
      </w:r>
      <w:r>
        <w:rPr>
          <w:rFonts w:ascii="Times New Roman" w:hAnsi="Times New Roman" w:cs="Times New Roman"/>
          <w:lang w:val="lv-LV"/>
        </w:rPr>
        <w:t xml:space="preserve">, identifikācijas Nr. BT 2026/8-ERAF (turpmāk – Iepirkums) tiek veikta kā atklāts konkurss Publisko iepirkumu likuma 8. panta pirmās daļas 1. punkta kārtībā. Iepirkums tiek rīkots Eiropas Savienības kohēzijas politikas programmas 2021.–2027. gadam 2.1.1. specifiskā atbalsta mērķa "Energoefektivitātes veicināšana un siltumnīcefekta gāzu emisiju samazināšana" 2.1.1.4. pasākuma "Energoefektivitātes paaugstināšana valsts ēkās" un 2.1.1.7. pasākuma "Valsts iestāžu infrastruktūras optimizācija" projekta "Energoefektivitātes paaugstināšana SIA "Bulduru Tehnikums ēkās" (Nr. 2.1.1.4/1/25/I/027) ietvaros. </w:t>
      </w:r>
    </w:p>
    <w:p w14:paraId="5F9A4B31">
      <w:pPr>
        <w:spacing w:after="0" w:line="360" w:lineRule="auto"/>
        <w:jc w:val="both"/>
        <w:rPr>
          <w:rFonts w:ascii="Times New Roman" w:hAnsi="Times New Roman" w:cs="Times New Roman"/>
          <w:lang w:val="lv-LV"/>
        </w:rPr>
      </w:pPr>
      <w:r>
        <w:rPr>
          <w:rFonts w:ascii="Times New Roman" w:hAnsi="Times New Roman" w:cs="Times New Roman"/>
          <w:lang w:val="lv-LV"/>
        </w:rPr>
        <w:t xml:space="preserve">1.2. Pasūtītājs – Sabiedrība ar ierobežotu atbildību “Bulduru Tehnikums” (turpmāk – Sabiedrība), reģistrācijas Nr.40003482021, juridiskā adrese Viestura iela 6, Jūrmala, LV-2010, turpmāk – Pasūtītājs. </w:t>
      </w:r>
    </w:p>
    <w:p w14:paraId="3D43846C">
      <w:pPr>
        <w:spacing w:after="0" w:line="360" w:lineRule="auto"/>
        <w:jc w:val="both"/>
        <w:rPr>
          <w:rFonts w:ascii="Times New Roman" w:hAnsi="Times New Roman" w:cs="Times New Roman"/>
          <w:lang w:val="lv-LV"/>
        </w:rPr>
      </w:pPr>
      <w:r>
        <w:rPr>
          <w:rFonts w:ascii="Times New Roman" w:hAnsi="Times New Roman" w:cs="Times New Roman"/>
          <w:lang w:val="lv-LV"/>
        </w:rPr>
        <w:t xml:space="preserve">1.3. Kontaktpersona jautājumos par Iepirkuma nolikumu (turpmāk – Nolikums) vispārīgo informāciju – </w:t>
      </w:r>
      <w:r>
        <w:rPr>
          <w:rFonts w:ascii="Times New Roman" w:hAnsi="Times New Roman" w:cs="Times New Roman"/>
          <w:b/>
          <w:bCs/>
          <w:lang w:val="lv-LV"/>
        </w:rPr>
        <w:t>Ēvalds Juhnēvičs, tālrunis 29230283, e-pasts: bulduri@bulduri.lv</w:t>
      </w:r>
      <w:r>
        <w:rPr>
          <w:rFonts w:ascii="Times New Roman" w:hAnsi="Times New Roman" w:cs="Times New Roman"/>
          <w:lang w:val="lv-LV"/>
        </w:rPr>
        <w:t>;</w:t>
      </w:r>
    </w:p>
    <w:p w14:paraId="623BF31B">
      <w:pPr>
        <w:spacing w:after="0" w:line="360" w:lineRule="auto"/>
        <w:jc w:val="both"/>
        <w:rPr>
          <w:rFonts w:ascii="Times New Roman" w:hAnsi="Times New Roman" w:cs="Times New Roman"/>
          <w:lang w:val="lv-LV"/>
        </w:rPr>
      </w:pPr>
      <w:r>
        <w:rPr>
          <w:rFonts w:ascii="Times New Roman" w:hAnsi="Times New Roman" w:cs="Times New Roman"/>
          <w:lang w:val="lv-LV"/>
        </w:rPr>
        <w:t xml:space="preserve">1.4. Pretendents: piegādātājs, kurš ir reģistrēts Elektronisko iepirkumu sistēmā un ir iesniedzis piedāvājumu EIS e-konkursu apakšsistēmā. </w:t>
      </w:r>
    </w:p>
    <w:p w14:paraId="30EA44C7">
      <w:pPr>
        <w:spacing w:after="0" w:line="360" w:lineRule="auto"/>
        <w:jc w:val="both"/>
        <w:rPr>
          <w:rFonts w:ascii="Times New Roman" w:hAnsi="Times New Roman" w:cs="Times New Roman"/>
          <w:b/>
          <w:bCs/>
          <w:lang w:val="lv-LV"/>
        </w:rPr>
      </w:pPr>
      <w:r>
        <w:rPr>
          <w:rFonts w:ascii="Times New Roman" w:hAnsi="Times New Roman" w:cs="Times New Roman"/>
          <w:lang w:val="lv-LV"/>
        </w:rPr>
        <w:t xml:space="preserve">1.5. Iepirkuma priekšmets: </w:t>
      </w:r>
      <w:r>
        <w:rPr>
          <w:rFonts w:ascii="Times New Roman" w:hAnsi="Times New Roman" w:cs="Times New Roman"/>
          <w:b/>
          <w:bCs/>
        </w:rPr>
        <w:t>SIA “Bulduru Tehnikums” ēku energoefektivitātes paaugstināšanas  projekta vadība un tehniskais atbalsts.</w:t>
      </w:r>
    </w:p>
    <w:p w14:paraId="265D4456">
      <w:pPr>
        <w:spacing w:after="0" w:line="360" w:lineRule="auto"/>
        <w:ind w:firstLine="284"/>
        <w:jc w:val="both"/>
        <w:rPr>
          <w:rFonts w:ascii="Times New Roman" w:hAnsi="Times New Roman" w:cs="Times New Roman"/>
          <w:lang w:val="lv-LV"/>
        </w:rPr>
      </w:pPr>
      <w:r>
        <w:rPr>
          <w:rFonts w:ascii="Times New Roman" w:hAnsi="Times New Roman" w:cs="Times New Roman"/>
          <w:lang w:val="lv-LV"/>
        </w:rPr>
        <w:t xml:space="preserve">1.5.1. CPV kods: </w:t>
      </w:r>
    </w:p>
    <w:tbl>
      <w:tblPr>
        <w:tblStyle w:val="12"/>
        <w:tblW w:w="902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9"/>
        <w:gridCol w:w="2856"/>
        <w:gridCol w:w="2684"/>
        <w:gridCol w:w="2026"/>
      </w:tblGrid>
      <w:tr w14:paraId="19B2C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1459" w:type="dxa"/>
            <w:tcBorders>
              <w:top w:val="single" w:color="auto" w:sz="4" w:space="0"/>
              <w:left w:val="single" w:color="auto" w:sz="4" w:space="0"/>
              <w:bottom w:val="single" w:color="auto" w:sz="4" w:space="0"/>
              <w:right w:val="single" w:color="auto" w:sz="4" w:space="0"/>
            </w:tcBorders>
            <w:vAlign w:val="center"/>
          </w:tcPr>
          <w:p w14:paraId="63135A00">
            <w:pPr>
              <w:spacing w:after="0" w:line="360" w:lineRule="auto"/>
              <w:jc w:val="both"/>
              <w:rPr>
                <w:rFonts w:ascii="Times New Roman" w:hAnsi="Times New Roman" w:cs="Times New Roman"/>
                <w:lang w:val="lv-LV"/>
              </w:rPr>
            </w:pPr>
            <w:r>
              <w:rPr>
                <w:rFonts w:ascii="Times New Roman" w:hAnsi="Times New Roman" w:cs="Times New Roman"/>
                <w:lang w:val="lv-LV"/>
              </w:rPr>
              <w:t>Kods</w:t>
            </w:r>
          </w:p>
        </w:tc>
        <w:tc>
          <w:tcPr>
            <w:tcW w:w="2856" w:type="dxa"/>
            <w:tcBorders>
              <w:top w:val="single" w:color="auto" w:sz="4" w:space="0"/>
              <w:left w:val="single" w:color="auto" w:sz="4" w:space="0"/>
              <w:bottom w:val="single" w:color="auto" w:sz="4" w:space="0"/>
              <w:right w:val="single" w:color="auto" w:sz="4" w:space="0"/>
            </w:tcBorders>
            <w:vAlign w:val="center"/>
          </w:tcPr>
          <w:p w14:paraId="7870AC21">
            <w:pPr>
              <w:spacing w:after="0" w:line="360" w:lineRule="auto"/>
              <w:jc w:val="both"/>
              <w:rPr>
                <w:rFonts w:ascii="Times New Roman" w:hAnsi="Times New Roman" w:cs="Times New Roman"/>
                <w:lang w:val="lv-LV"/>
              </w:rPr>
            </w:pPr>
            <w:r>
              <w:rPr>
                <w:rFonts w:ascii="Times New Roman" w:hAnsi="Times New Roman" w:cs="Times New Roman"/>
                <w:lang w:val="lv-LV"/>
              </w:rPr>
              <w:t>Koda atšifrējums</w:t>
            </w:r>
          </w:p>
          <w:p w14:paraId="1588710A">
            <w:pPr>
              <w:spacing w:after="0" w:line="360" w:lineRule="auto"/>
              <w:jc w:val="both"/>
              <w:rPr>
                <w:rFonts w:ascii="Times New Roman" w:hAnsi="Times New Roman" w:cs="Times New Roman"/>
                <w:lang w:val="lv-LV"/>
              </w:rPr>
            </w:pPr>
            <w:r>
              <w:rPr>
                <w:rFonts w:ascii="Times New Roman" w:hAnsi="Times New Roman" w:cs="Times New Roman"/>
                <w:lang w:val="lv-LV"/>
              </w:rPr>
              <w:t>latviešu valodā</w:t>
            </w:r>
          </w:p>
        </w:tc>
        <w:tc>
          <w:tcPr>
            <w:tcW w:w="2684" w:type="dxa"/>
            <w:tcBorders>
              <w:top w:val="single" w:color="auto" w:sz="4" w:space="0"/>
              <w:left w:val="single" w:color="auto" w:sz="4" w:space="0"/>
              <w:bottom w:val="single" w:color="auto" w:sz="4" w:space="0"/>
              <w:right w:val="single" w:color="auto" w:sz="4" w:space="0"/>
            </w:tcBorders>
            <w:vAlign w:val="center"/>
          </w:tcPr>
          <w:p w14:paraId="2E655AA2">
            <w:pPr>
              <w:spacing w:after="0" w:line="360" w:lineRule="auto"/>
              <w:jc w:val="both"/>
              <w:rPr>
                <w:rFonts w:ascii="Times New Roman" w:hAnsi="Times New Roman" w:cs="Times New Roman"/>
                <w:lang w:val="lv-LV"/>
              </w:rPr>
            </w:pPr>
            <w:r>
              <w:rPr>
                <w:rFonts w:ascii="Times New Roman" w:hAnsi="Times New Roman" w:cs="Times New Roman"/>
                <w:lang w:val="lv-LV"/>
              </w:rPr>
              <w:t>Koda atšifrējums</w:t>
            </w:r>
          </w:p>
          <w:p w14:paraId="0152D611">
            <w:pPr>
              <w:spacing w:after="0" w:line="360" w:lineRule="auto"/>
              <w:jc w:val="both"/>
              <w:rPr>
                <w:rFonts w:ascii="Times New Roman" w:hAnsi="Times New Roman" w:cs="Times New Roman"/>
                <w:lang w:val="lv-LV"/>
              </w:rPr>
            </w:pPr>
            <w:r>
              <w:rPr>
                <w:rFonts w:ascii="Times New Roman" w:hAnsi="Times New Roman" w:cs="Times New Roman"/>
                <w:lang w:val="lv-LV"/>
              </w:rPr>
              <w:t>angļu valodā</w:t>
            </w:r>
          </w:p>
        </w:tc>
        <w:tc>
          <w:tcPr>
            <w:tcW w:w="2026" w:type="dxa"/>
            <w:tcBorders>
              <w:top w:val="single" w:color="auto" w:sz="4" w:space="0"/>
              <w:left w:val="single" w:color="auto" w:sz="4" w:space="0"/>
              <w:bottom w:val="single" w:color="auto" w:sz="4" w:space="0"/>
              <w:right w:val="single" w:color="auto" w:sz="4" w:space="0"/>
            </w:tcBorders>
            <w:vAlign w:val="center"/>
          </w:tcPr>
          <w:p w14:paraId="61EAFC27">
            <w:pPr>
              <w:spacing w:after="0" w:line="360" w:lineRule="auto"/>
              <w:jc w:val="both"/>
              <w:rPr>
                <w:rFonts w:ascii="Times New Roman" w:hAnsi="Times New Roman" w:cs="Times New Roman"/>
                <w:lang w:val="lv-LV"/>
              </w:rPr>
            </w:pPr>
            <w:r>
              <w:rPr>
                <w:rFonts w:ascii="Times New Roman" w:hAnsi="Times New Roman" w:cs="Times New Roman"/>
                <w:lang w:val="lv-LV"/>
              </w:rPr>
              <w:t>Pakalpojuma</w:t>
            </w:r>
          </w:p>
          <w:p w14:paraId="0ED843EE">
            <w:pPr>
              <w:spacing w:after="0" w:line="360" w:lineRule="auto"/>
              <w:jc w:val="both"/>
              <w:rPr>
                <w:rFonts w:ascii="Times New Roman" w:hAnsi="Times New Roman" w:cs="Times New Roman"/>
                <w:lang w:val="lv-LV"/>
              </w:rPr>
            </w:pPr>
            <w:r>
              <w:rPr>
                <w:rFonts w:ascii="Times New Roman" w:hAnsi="Times New Roman" w:cs="Times New Roman"/>
                <w:lang w:val="lv-LV"/>
              </w:rPr>
              <w:t>kategorijas Nr.</w:t>
            </w:r>
          </w:p>
        </w:tc>
      </w:tr>
      <w:tr w14:paraId="6616B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trPr>
        <w:tc>
          <w:tcPr>
            <w:tcW w:w="1459" w:type="dxa"/>
            <w:tcBorders>
              <w:top w:val="single" w:color="auto" w:sz="4" w:space="0"/>
              <w:left w:val="single" w:color="auto" w:sz="4" w:space="0"/>
              <w:bottom w:val="single" w:color="auto" w:sz="4" w:space="0"/>
              <w:right w:val="single" w:color="auto" w:sz="4" w:space="0"/>
            </w:tcBorders>
            <w:vAlign w:val="center"/>
          </w:tcPr>
          <w:p w14:paraId="7A553004">
            <w:pPr>
              <w:spacing w:after="0" w:line="360" w:lineRule="auto"/>
              <w:jc w:val="both"/>
              <w:rPr>
                <w:rFonts w:ascii="Times New Roman" w:hAnsi="Times New Roman" w:cs="Times New Roman"/>
                <w:lang w:val="lv-LV"/>
              </w:rPr>
            </w:pPr>
            <w:r>
              <w:rPr>
                <w:rFonts w:ascii="Times New Roman" w:hAnsi="Times New Roman" w:cs="Times New Roman"/>
                <w:lang w:val="lv-LV"/>
              </w:rPr>
              <w:t>79421000-1</w:t>
            </w:r>
          </w:p>
        </w:tc>
        <w:tc>
          <w:tcPr>
            <w:tcW w:w="2856" w:type="dxa"/>
            <w:tcBorders>
              <w:top w:val="single" w:color="auto" w:sz="4" w:space="0"/>
              <w:left w:val="single" w:color="auto" w:sz="4" w:space="0"/>
              <w:bottom w:val="single" w:color="auto" w:sz="4" w:space="0"/>
              <w:right w:val="single" w:color="auto" w:sz="4" w:space="0"/>
            </w:tcBorders>
            <w:vAlign w:val="center"/>
          </w:tcPr>
          <w:p w14:paraId="31200AEE">
            <w:pPr>
              <w:spacing w:after="0" w:line="360" w:lineRule="auto"/>
              <w:jc w:val="both"/>
              <w:rPr>
                <w:rFonts w:ascii="Times New Roman" w:hAnsi="Times New Roman" w:cs="Times New Roman"/>
                <w:lang w:val="lv-LV"/>
              </w:rPr>
            </w:pPr>
            <w:r>
              <w:rPr>
                <w:rFonts w:ascii="Times New Roman" w:hAnsi="Times New Roman" w:cs="Times New Roman"/>
                <w:lang w:val="lv-LV"/>
              </w:rPr>
              <w:t>Projektu vadības pakalpojumi, izņemot būvdarbu vadību</w:t>
            </w:r>
          </w:p>
        </w:tc>
        <w:tc>
          <w:tcPr>
            <w:tcW w:w="2684" w:type="dxa"/>
            <w:tcBorders>
              <w:top w:val="single" w:color="auto" w:sz="4" w:space="0"/>
              <w:left w:val="single" w:color="auto" w:sz="4" w:space="0"/>
              <w:bottom w:val="single" w:color="auto" w:sz="4" w:space="0"/>
              <w:right w:val="single" w:color="auto" w:sz="4" w:space="0"/>
            </w:tcBorders>
            <w:vAlign w:val="center"/>
          </w:tcPr>
          <w:p w14:paraId="35502181">
            <w:pPr>
              <w:spacing w:after="0" w:line="360" w:lineRule="auto"/>
              <w:jc w:val="both"/>
              <w:rPr>
                <w:rFonts w:ascii="Times New Roman" w:hAnsi="Times New Roman" w:cs="Times New Roman"/>
              </w:rPr>
            </w:pPr>
            <w:r>
              <w:rPr>
                <w:rFonts w:ascii="Times New Roman" w:hAnsi="Times New Roman" w:cs="Times New Roman"/>
              </w:rPr>
              <w:t>Project-management services other than for construction work</w:t>
            </w:r>
          </w:p>
        </w:tc>
        <w:tc>
          <w:tcPr>
            <w:tcW w:w="2026" w:type="dxa"/>
            <w:tcBorders>
              <w:top w:val="single" w:color="auto" w:sz="4" w:space="0"/>
              <w:left w:val="single" w:color="auto" w:sz="4" w:space="0"/>
              <w:bottom w:val="single" w:color="auto" w:sz="4" w:space="0"/>
              <w:right w:val="single" w:color="auto" w:sz="4" w:space="0"/>
            </w:tcBorders>
            <w:vAlign w:val="center"/>
          </w:tcPr>
          <w:p w14:paraId="5E2231EB">
            <w:pPr>
              <w:spacing w:after="0" w:line="360" w:lineRule="auto"/>
              <w:jc w:val="both"/>
              <w:rPr>
                <w:rFonts w:ascii="Times New Roman" w:hAnsi="Times New Roman" w:cs="Times New Roman"/>
                <w:lang w:val="lv-LV"/>
              </w:rPr>
            </w:pPr>
          </w:p>
          <w:p w14:paraId="60E1FF54">
            <w:pPr>
              <w:spacing w:after="0" w:line="360" w:lineRule="auto"/>
              <w:jc w:val="both"/>
              <w:rPr>
                <w:rFonts w:ascii="Times New Roman" w:hAnsi="Times New Roman" w:cs="Times New Roman"/>
                <w:lang w:val="lv-LV"/>
              </w:rPr>
            </w:pPr>
            <w:r>
              <w:rPr>
                <w:rFonts w:ascii="Times New Roman" w:hAnsi="Times New Roman" w:cs="Times New Roman"/>
                <w:lang w:val="lv-LV"/>
              </w:rPr>
              <w:t>11</w:t>
            </w:r>
          </w:p>
          <w:p w14:paraId="590D1620">
            <w:pPr>
              <w:spacing w:after="0" w:line="360" w:lineRule="auto"/>
              <w:jc w:val="both"/>
              <w:rPr>
                <w:rFonts w:ascii="Times New Roman" w:hAnsi="Times New Roman" w:cs="Times New Roman"/>
                <w:lang w:val="lv-LV"/>
              </w:rPr>
            </w:pPr>
          </w:p>
        </w:tc>
      </w:tr>
    </w:tbl>
    <w:p w14:paraId="10753C48">
      <w:pPr>
        <w:spacing w:after="0" w:line="360" w:lineRule="auto"/>
        <w:jc w:val="both"/>
        <w:rPr>
          <w:rFonts w:ascii="Times New Roman" w:hAnsi="Times New Roman" w:cs="Times New Roman"/>
          <w:lang w:val="lv-LV"/>
        </w:rPr>
      </w:pPr>
    </w:p>
    <w:p w14:paraId="7C964BE0">
      <w:pPr>
        <w:spacing w:after="0" w:line="360" w:lineRule="auto"/>
        <w:ind w:left="284"/>
        <w:jc w:val="both"/>
        <w:rPr>
          <w:rFonts w:ascii="Times New Roman" w:hAnsi="Times New Roman" w:cs="Times New Roman"/>
          <w:lang w:val="lv-LV"/>
        </w:rPr>
      </w:pPr>
      <w:r>
        <w:rPr>
          <w:rFonts w:ascii="Times New Roman" w:hAnsi="Times New Roman" w:cs="Times New Roman"/>
          <w:lang w:val="lv-LV"/>
        </w:rPr>
        <w:t>1.5.2. Pretendents var iesniegt vienu piedāvājumu.</w:t>
      </w:r>
    </w:p>
    <w:p w14:paraId="2CE9D9A5">
      <w:pPr>
        <w:spacing w:after="0" w:line="360" w:lineRule="auto"/>
        <w:jc w:val="both"/>
        <w:rPr>
          <w:rFonts w:ascii="Times New Roman" w:hAnsi="Times New Roman" w:cs="Times New Roman"/>
          <w:lang w:val="lv-LV"/>
        </w:rPr>
      </w:pPr>
      <w:r>
        <w:rPr>
          <w:rFonts w:ascii="Times New Roman" w:hAnsi="Times New Roman" w:cs="Times New Roman"/>
          <w:lang w:val="lv-LV"/>
        </w:rPr>
        <w:t>1.6. Līguma izpildes laiks un vieta: Viestura iela 6 un Ķemeru iela 76, Jūrmala (</w:t>
      </w:r>
      <w:r>
        <w:rPr>
          <w:rFonts w:ascii="Times New Roman" w:hAnsi="Times New Roman" w:cs="Times New Roman"/>
          <w:i/>
          <w:iCs/>
          <w:lang w:val="lv-LV"/>
        </w:rPr>
        <w:t>Pakalpojuma sniegšanas vieta ir projekta īstenošanas objekti SIA "Bulduru Tehnikums" teritorijā un citas ar projekta īstenošanu saistītās vietas</w:t>
      </w:r>
      <w:r>
        <w:rPr>
          <w:rFonts w:ascii="Times New Roman" w:hAnsi="Times New Roman" w:cs="Times New Roman"/>
          <w:lang w:val="lv-LV"/>
        </w:rPr>
        <w:t>).</w:t>
      </w:r>
    </w:p>
    <w:p w14:paraId="224F5FCB">
      <w:pPr>
        <w:spacing w:after="0" w:line="360" w:lineRule="auto"/>
        <w:jc w:val="both"/>
        <w:rPr>
          <w:rFonts w:ascii="Times New Roman" w:hAnsi="Times New Roman" w:cs="Times New Roman"/>
          <w:lang w:val="lv-LV"/>
        </w:rPr>
      </w:pPr>
      <w:r>
        <w:rPr>
          <w:rFonts w:ascii="Times New Roman" w:hAnsi="Times New Roman" w:cs="Times New Roman"/>
          <w:lang w:val="lv-LV"/>
        </w:rPr>
        <w:t>1.6.1. Pakalpojuma sniegšanas termiņš ir līdz projekta Nr. 2.1.1.4/1/25/I/027 īstenošanas pabeigšanai, bet ne ilgāk kā līdz 2029. gada 31. decembrim.</w:t>
      </w:r>
    </w:p>
    <w:p w14:paraId="5A1AA1D9">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1.6.1.1. Pasūtītājam ir tiesības, noslēdzot ar Izpildītāju rakstveida vienošanos, pagarināt pakalpojuma sniegšanas termiņu, ja iestājas vismaz viens no šādiem apstākļiem:</w:t>
      </w:r>
    </w:p>
    <w:p w14:paraId="4ABFD706">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a) sadarbības iestāde, atbildīgā iestāde vai cita kompetentā institūcija ir pagarinājusi projekta īstenošanas termiņu;</w:t>
      </w:r>
    </w:p>
    <w:p w14:paraId="3CA8EF2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b) ar projekta īstenošanu saistīto būvdarbu, piegāžu vai citu līgumu izpilde ir aizkavējusies vai to izpildes termiņš ir pagarināts tādu objektīvu apstākļu dēļ, kurus Izpildītājs nav izraisījis un nevarēja novērst;</w:t>
      </w:r>
    </w:p>
    <w:p w14:paraId="37EC5DB3">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c) pēc sākotnējā pakalpojuma sniegšanas termiņa beigām ir nepieciešama projekta maksājumu pieprasījumu, pārskatu, noslēguma dokumentu vai citu ar projekta īstenošanu saistītu dokumentu sagatavošana, precizēšana vai saskaņošana;</w:t>
      </w:r>
    </w:p>
    <w:p w14:paraId="01D37964">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d) projekta īstenošanu ietekmē nepārvaramas varas apstākļi vai kompetento institūciju lēmumi, kuru dēļ projektu nav iespējams pabeigt sākotnēji noteiktajā termiņā.</w:t>
      </w:r>
    </w:p>
    <w:p w14:paraId="28E4B13E">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1.6.1.2. Pakalpojuma sniegšanas termiņu drīkst pagarināt tikai uz laiku, kas objektīvi nepieciešams projekta īstenošanas un ar to saistīto Izpildītāja pienākumu pabeigšanai, bet ne ilgāk kā par 12 mēnešiem.</w:t>
      </w:r>
    </w:p>
    <w:p w14:paraId="68706F0A">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1.6.1.3. Termiņa pagarinājums nemaina Iepirkuma līguma vispārējo raksturu, iepirkuma priekšmetu un Tehniskajā specifikācijā noteikto pakalpojumu būtību. Pagarinājuma laikā Izpildītājs turpina sniegt tikai Tehniskajā specifikācijā un Iepirkuma līgumā paredzētos pakalpojumus.</w:t>
      </w:r>
    </w:p>
    <w:p w14:paraId="3C60C978">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1.6.1.4. Par pakalpojumu sniegšanu pagarinājuma periodā Izpildītājam maksā atbilstoši Finanšu piedāvājumā norādītajai pakalpojuma cenai par vienu mēnesi. Pagarinājuma laikā viena mēneša cena netiek palielināta vai indeksēta.</w:t>
      </w:r>
    </w:p>
    <w:p w14:paraId="681DDD94">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1.6.1.5. Ja pakalpojumi pagarinājuma periodā tiek sniegti nepilnu kalendāra mēnesi, atlīdzību aprēķina, viena mēneša cenu dalot ar attiecīgā kalendāra mēneša dienu skaitu un reizinot ar faktisko pakalpojuma sniegšanas dienu skaitu.</w:t>
      </w:r>
    </w:p>
    <w:p w14:paraId="5CCA6090">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1.6.1.6. Kopējais līgumcenas palielinājums termiņa pagarināšanas rezultātā nedrīkst pārsniegt Finanšu piedāvājumā norādīto pakalpojuma cenu par 12 mēnešiem.</w:t>
      </w:r>
    </w:p>
    <w:p w14:paraId="5AE7606F">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1.6.1.7. Izpildītājam nav tiesību saņemt papildu samaksu par termiņa pagarinājumu, ja pagarinājuma nepieciešamība radusies Izpildītāja darbības, bezdarbības, kavējuma vai līgumsaistību nepienācīgas izpildes dēļ.</w:t>
      </w:r>
    </w:p>
    <w:p w14:paraId="796B6048">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1.6.1.8. Rakstveida vienošanos par pakalpojuma sniegšanas termiņa pagarināšanu noslēdz pirms spēkā esošā pakalpojuma sniegšanas termiņa beigām, ievērojot Publisko iepirkumu likuma 61. panta prasības.</w:t>
      </w:r>
    </w:p>
    <w:p w14:paraId="2759A1D2">
      <w:pPr>
        <w:spacing w:after="0" w:line="360" w:lineRule="auto"/>
        <w:jc w:val="both"/>
        <w:rPr>
          <w:rFonts w:ascii="Times New Roman" w:hAnsi="Times New Roman" w:cs="Times New Roman"/>
          <w:lang w:val="lv-LV"/>
        </w:rPr>
      </w:pPr>
      <w:r>
        <w:rPr>
          <w:rFonts w:ascii="Times New Roman" w:hAnsi="Times New Roman" w:cs="Times New Roman"/>
          <w:lang w:val="lv-LV"/>
        </w:rPr>
        <w:t>1.7. Piedāvājuma iesniegšanas un atvēršanas vieta, datums, laiks un kārtība:</w:t>
      </w:r>
    </w:p>
    <w:p w14:paraId="34A1ABEA">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1.7.1.</w:t>
      </w:r>
      <w:r>
        <w:rPr>
          <w:rFonts w:ascii="Times New Roman" w:hAnsi="Times New Roman" w:cs="Times New Roman"/>
          <w:lang w:val="lv-LV"/>
        </w:rPr>
        <w:tab/>
      </w:r>
      <w:r>
        <w:rPr>
          <w:rFonts w:ascii="Times New Roman" w:hAnsi="Times New Roman" w:cs="Times New Roman"/>
          <w:lang w:val="lv-LV"/>
        </w:rPr>
        <w:t>Piedāvājumus drīkst iesniegt sākot ar dienu, kad paziņojums par līgumu ir publicēts Iepirkumu uzraudzības biroja mājaslapā.</w:t>
      </w:r>
    </w:p>
    <w:p w14:paraId="394CF372">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1.7.2.</w:t>
      </w:r>
      <w:r>
        <w:rPr>
          <w:rFonts w:ascii="Times New Roman" w:hAnsi="Times New Roman" w:cs="Times New Roman"/>
          <w:lang w:val="lv-LV"/>
        </w:rPr>
        <w:tab/>
      </w:r>
      <w:r>
        <w:rPr>
          <w:rFonts w:ascii="Times New Roman" w:hAnsi="Times New Roman" w:cs="Times New Roman"/>
          <w:lang w:val="lv-LV"/>
        </w:rPr>
        <w:t>Piedāvājumi Iepirkumam ir iesniedzami tikai ELEKTRONISKI, izmantojot Valsts reģionālās attīstības aģentūras mājaslapā pieejamo Elektronisko iepirkumu sistēmas e-konkursu apakšsistēmu (turpmāk – Elektronisko iepirkumu sistēmas e-konkursu apakšsistēma).</w:t>
      </w:r>
    </w:p>
    <w:p w14:paraId="5824222C">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1.7.3.</w:t>
      </w:r>
      <w:r>
        <w:rPr>
          <w:rFonts w:ascii="Times New Roman" w:hAnsi="Times New Roman" w:cs="Times New Roman"/>
          <w:lang w:val="lv-LV"/>
        </w:rPr>
        <w:tab/>
      </w:r>
      <w:r>
        <w:rPr>
          <w:rFonts w:ascii="Times New Roman" w:hAnsi="Times New Roman" w:cs="Times New Roman"/>
          <w:lang w:val="lv-LV"/>
        </w:rPr>
        <w:t>Ārpus Elektronisko iepirkumu sistēmas e-konkursu apakšsistēmas iesniegtie piedāvājumi tiks atzīti par neatbilstošiem Nolikuma prasībām. Pretendentu piedāvājumi, kas saņemti ārpus Elektronisko iepirkumu sistēmas e-konkursu apakšsistēmas, netiek atvērti un neatvērti tiek nosūtīti atpakaļ iesniedzējam.</w:t>
      </w:r>
    </w:p>
    <w:p w14:paraId="7D3FCFF1">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1.7.4.</w:t>
      </w:r>
      <w:r>
        <w:rPr>
          <w:rFonts w:ascii="Times New Roman" w:hAnsi="Times New Roman" w:cs="Times New Roman"/>
          <w:lang w:val="lv-LV"/>
        </w:rPr>
        <w:tab/>
      </w:r>
      <w:r>
        <w:rPr>
          <w:rFonts w:ascii="Times New Roman" w:hAnsi="Times New Roman" w:cs="Times New Roman"/>
          <w:lang w:val="lv-LV"/>
        </w:rPr>
        <w:t>Piedāvājumu iesniegšanas pēdējais termiņš – atbilstoši Elektronisko iepirkumu sistēmā (www.eis.gov.lv) un Iepirkumu uzraudzības biroja (www.iub.gov.lv) iepirkumu datu bāzes publikācijā minētajā termiņā.</w:t>
      </w:r>
    </w:p>
    <w:p w14:paraId="14194837">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1.7.5. Iepirkumu komisija atver elektroniski iesniegtos piedāvājumus 4 stundas pēc piedāvājumu iesniegšanas termiņa beigām. Piedāvājumu elektroniska atvēršana paredzēta Elektronisko iepirkumu sistēmā (www.eis.gov.lv).</w:t>
      </w:r>
    </w:p>
    <w:p w14:paraId="28F41C9B">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1.7.6.</w:t>
      </w:r>
      <w:r>
        <w:rPr>
          <w:rFonts w:ascii="Times New Roman" w:hAnsi="Times New Roman" w:cs="Times New Roman"/>
          <w:lang w:val="lv-LV"/>
        </w:rPr>
        <w:tab/>
      </w:r>
      <w:r>
        <w:rPr>
          <w:rFonts w:ascii="Times New Roman" w:hAnsi="Times New Roman" w:cs="Times New Roman"/>
          <w:lang w:val="lv-LV"/>
        </w:rPr>
        <w:t>Piedāvājumu atvēršana notiek, izmantojot Valsts reģionālās attīstības aģentūras mājaslapā pieejamos rīkus piedāvājumu elektroniskai saņemšanai.</w:t>
      </w:r>
    </w:p>
    <w:p w14:paraId="37FA29BF">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1.7.7.</w:t>
      </w:r>
      <w:r>
        <w:rPr>
          <w:rFonts w:ascii="Times New Roman" w:hAnsi="Times New Roman" w:cs="Times New Roman"/>
          <w:lang w:val="lv-LV"/>
        </w:rPr>
        <w:tab/>
      </w:r>
      <w:r>
        <w:rPr>
          <w:rFonts w:ascii="Times New Roman" w:hAnsi="Times New Roman" w:cs="Times New Roman"/>
          <w:lang w:val="lv-LV"/>
        </w:rPr>
        <w:t>Iesniegto piedāvājumu atvēršanas procesam var sekot līdzi tiešsaistes režīmā Elektronisko iepirkumu sistēmas e-konkursu apakšsistēmā.</w:t>
      </w:r>
    </w:p>
    <w:p w14:paraId="13204A26">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1.7.8.</w:t>
      </w:r>
      <w:r>
        <w:rPr>
          <w:rFonts w:ascii="Times New Roman" w:hAnsi="Times New Roman" w:cs="Times New Roman"/>
          <w:lang w:val="lv-LV"/>
        </w:rPr>
        <w:tab/>
      </w:r>
      <w:r>
        <w:rPr>
          <w:rFonts w:ascii="Times New Roman" w:hAnsi="Times New Roman" w:cs="Times New Roman"/>
          <w:lang w:val="lv-LV"/>
        </w:rPr>
        <w:t>Ja Pretendents piedāvājuma datu aizsardzībai izmantojis piedāvājuma šifrēšanu, Pretendentam ne vēlāk kā 15 (piecpadsmit) minūtes pēc piedāvājumu iesniegšanas termiņa beigām Iepirkumu komisijai jāiesniedz elektroniskā atslēga ar paroli šifrētā dokumenta atvēršanai.</w:t>
      </w:r>
    </w:p>
    <w:p w14:paraId="58C94B66">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1.7.9.</w:t>
      </w:r>
      <w:r>
        <w:rPr>
          <w:rFonts w:ascii="Times New Roman" w:hAnsi="Times New Roman" w:cs="Times New Roman"/>
          <w:lang w:val="lv-LV"/>
        </w:rPr>
        <w:tab/>
      </w:r>
      <w:r>
        <w:rPr>
          <w:rFonts w:ascii="Times New Roman" w:hAnsi="Times New Roman" w:cs="Times New Roman"/>
          <w:lang w:val="lv-LV"/>
        </w:rPr>
        <w:t>Pretendentu atlasi, tehnisko piedāvājumu atbilstības pārbaudi un piedāvājumu vērtēšanu Iepirkumu komisija veic slēgtā sanāksmē saskaņā ar Nolikuma un Likuma prasībām.</w:t>
      </w:r>
    </w:p>
    <w:p w14:paraId="3D5E7FB7">
      <w:pPr>
        <w:spacing w:after="0" w:line="360" w:lineRule="auto"/>
        <w:jc w:val="both"/>
        <w:rPr>
          <w:rFonts w:ascii="Times New Roman" w:hAnsi="Times New Roman" w:cs="Times New Roman"/>
          <w:lang w:val="lv-LV"/>
        </w:rPr>
      </w:pPr>
      <w:r>
        <w:rPr>
          <w:rFonts w:ascii="Times New Roman" w:hAnsi="Times New Roman" w:cs="Times New Roman"/>
          <w:lang w:val="lv-LV"/>
        </w:rPr>
        <w:t>1.8. Piedāvājums, izņemot Nolikuma 1.7.3.apakšpunktā minēto gadījumu, paliek Pasūtītāja rīcībā un netiek atdots atpakaļ Pretendentam.</w:t>
      </w:r>
    </w:p>
    <w:p w14:paraId="6D566C64">
      <w:pPr>
        <w:spacing w:after="0" w:line="360" w:lineRule="auto"/>
        <w:jc w:val="both"/>
        <w:rPr>
          <w:rFonts w:ascii="Times New Roman" w:hAnsi="Times New Roman" w:cs="Times New Roman"/>
          <w:lang w:val="lv-LV"/>
        </w:rPr>
      </w:pPr>
      <w:r>
        <w:rPr>
          <w:rFonts w:ascii="Times New Roman" w:hAnsi="Times New Roman" w:cs="Times New Roman"/>
          <w:lang w:val="lv-LV"/>
        </w:rPr>
        <w:t>1.9. Piedāvājuma nodrošinājums netiek prasīts.</w:t>
      </w:r>
    </w:p>
    <w:p w14:paraId="27891B29">
      <w:pPr>
        <w:spacing w:after="0" w:line="360" w:lineRule="auto"/>
        <w:jc w:val="both"/>
        <w:rPr>
          <w:rFonts w:ascii="Times New Roman" w:hAnsi="Times New Roman" w:cs="Times New Roman"/>
          <w:lang w:val="lv-LV"/>
        </w:rPr>
      </w:pPr>
      <w:r>
        <w:rPr>
          <w:rFonts w:ascii="Times New Roman" w:hAnsi="Times New Roman" w:cs="Times New Roman"/>
          <w:lang w:val="lv-LV"/>
        </w:rPr>
        <w:t>1.10. Līguma nodrošinājums netiek prasīts.</w:t>
      </w:r>
    </w:p>
    <w:p w14:paraId="51E3BDD9">
      <w:pPr>
        <w:spacing w:after="0" w:line="360" w:lineRule="auto"/>
        <w:jc w:val="both"/>
        <w:rPr>
          <w:rFonts w:ascii="Times New Roman" w:hAnsi="Times New Roman" w:cs="Times New Roman"/>
          <w:lang w:val="lv-LV"/>
        </w:rPr>
      </w:pPr>
      <w:r>
        <w:rPr>
          <w:rFonts w:ascii="Times New Roman" w:hAnsi="Times New Roman" w:cs="Times New Roman"/>
          <w:lang w:val="lv-LV"/>
        </w:rPr>
        <w:t>1.11. Prasības attiecībā uz piedāvājumu noformējumu un iesniegšanu:</w:t>
      </w:r>
    </w:p>
    <w:p w14:paraId="28F71263">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1.11.1. Viens Pretendents drīkst iesniegt tikai vienu piedāvājuma variantu;</w:t>
      </w:r>
    </w:p>
    <w:p w14:paraId="298930AA">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1.11.2. Piedāvājums jāiesniedz elektroniski Elektronisko iepirkumu sistēmas e-konkursu apakšsistēmā, ievērojot šādas Pretendenta izvēles iespējas:</w:t>
      </w:r>
    </w:p>
    <w:p w14:paraId="0F1CB54A">
      <w:pPr>
        <w:spacing w:after="0" w:line="360" w:lineRule="auto"/>
        <w:ind w:firstLine="284"/>
        <w:jc w:val="both"/>
        <w:rPr>
          <w:rFonts w:ascii="Times New Roman" w:hAnsi="Times New Roman" w:cs="Times New Roman"/>
          <w:lang w:val="lv-LV"/>
        </w:rPr>
      </w:pPr>
      <w:r>
        <w:rPr>
          <w:rFonts w:ascii="Times New Roman" w:hAnsi="Times New Roman" w:cs="Times New Roman"/>
          <w:lang w:val="lv-LV"/>
        </w:rPr>
        <w:t>1.11.2.1. izmantojot Elektronisko iepirkumu sistēmas e-konkursu apakšsistēmas piedāvātos rīkus, aizpildot minētās sistēmas e-konkursu apakšsistēmā šā iepirkuma sadaļā ievietotās formas;</w:t>
      </w:r>
    </w:p>
    <w:p w14:paraId="5B638EF4">
      <w:pPr>
        <w:spacing w:after="0" w:line="360" w:lineRule="auto"/>
        <w:ind w:firstLine="284"/>
        <w:jc w:val="both"/>
        <w:rPr>
          <w:rFonts w:ascii="Times New Roman" w:hAnsi="Times New Roman" w:cs="Times New Roman"/>
          <w:lang w:val="lv-LV"/>
        </w:rPr>
      </w:pPr>
      <w:r>
        <w:rPr>
          <w:rFonts w:ascii="Times New Roman" w:hAnsi="Times New Roman" w:cs="Times New Roman"/>
          <w:lang w:val="lv-LV"/>
        </w:rPr>
        <w:t>1.11.2.2. elektroniski aizpildāmos dokumentus elektroniski sagatavojot ārpus Elektronisko iepirkumu sistēmas e-konkursu apakšsistēmas un augšupielādējot sistēmas attiecīgajās vietnēs aizpildītas PDF vai citas formas, t.sk. ar formā integrētajiem failiem (šādā gadījumā Pretendents ir atbildīgs par aizpildāmo formu atbilstību dokumentācijas prasībām un formu paraugiem);</w:t>
      </w:r>
    </w:p>
    <w:p w14:paraId="157013E4">
      <w:pPr>
        <w:spacing w:after="0" w:line="360" w:lineRule="auto"/>
        <w:ind w:firstLine="284"/>
        <w:jc w:val="both"/>
        <w:rPr>
          <w:rFonts w:ascii="Times New Roman" w:hAnsi="Times New Roman" w:cs="Times New Roman"/>
          <w:lang w:val="lv-LV"/>
        </w:rPr>
      </w:pPr>
      <w:r>
        <w:rPr>
          <w:rFonts w:ascii="Times New Roman" w:hAnsi="Times New Roman" w:cs="Times New Roman"/>
          <w:lang w:val="lv-LV"/>
        </w:rPr>
        <w:t>1.11.2.3. elektroniski (PDF vai citas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7B7BEDD">
      <w:pPr>
        <w:spacing w:after="0" w:line="360" w:lineRule="auto"/>
        <w:ind w:firstLine="284"/>
        <w:jc w:val="both"/>
        <w:rPr>
          <w:rFonts w:ascii="Times New Roman" w:hAnsi="Times New Roman" w:cs="Times New Roman"/>
          <w:lang w:val="lv-LV"/>
        </w:rPr>
      </w:pPr>
      <w:r>
        <w:rPr>
          <w:rFonts w:ascii="Times New Roman" w:hAnsi="Times New Roman" w:cs="Times New Roman"/>
          <w:lang w:val="lv-LV"/>
        </w:rPr>
        <w:t>1.11.3. Sagatavojot piedāvājumu, Pretendents ievēro, ka:</w:t>
      </w:r>
    </w:p>
    <w:p w14:paraId="2F21DE22">
      <w:pPr>
        <w:spacing w:after="0" w:line="360" w:lineRule="auto"/>
        <w:ind w:firstLine="284"/>
        <w:jc w:val="both"/>
        <w:rPr>
          <w:rFonts w:ascii="Times New Roman" w:hAnsi="Times New Roman" w:cs="Times New Roman"/>
          <w:lang w:val="lv-LV"/>
        </w:rPr>
      </w:pPr>
      <w:r>
        <w:rPr>
          <w:rFonts w:ascii="Times New Roman" w:hAnsi="Times New Roman" w:cs="Times New Roman"/>
          <w:lang w:val="lv-LV"/>
        </w:rPr>
        <w:t>1.11.3.1.</w:t>
      </w:r>
      <w:r>
        <w:rPr>
          <w:lang w:val="lv-LV"/>
        </w:rPr>
        <w:t xml:space="preserve"> </w:t>
      </w:r>
      <w:r>
        <w:rPr>
          <w:rFonts w:ascii="Times New Roman" w:hAnsi="Times New Roman" w:cs="Times New Roman"/>
          <w:lang w:val="lv-LV"/>
        </w:rPr>
        <w:t>Piedāvājuma dokumentus iesniedz EIS pieļaujamā, vispārpieejamā un nolasāmā elektroniskā formātā, piemēram, PDF, DOCX, XLSX vai citā EIS atbalstītā formātā;</w:t>
      </w:r>
    </w:p>
    <w:p w14:paraId="41537A85">
      <w:pPr>
        <w:spacing w:after="0" w:line="360" w:lineRule="auto"/>
        <w:ind w:firstLine="284"/>
        <w:jc w:val="both"/>
        <w:rPr>
          <w:rFonts w:ascii="Times New Roman" w:hAnsi="Times New Roman" w:cs="Times New Roman"/>
          <w:lang w:val="lv-LV"/>
        </w:rPr>
      </w:pPr>
      <w:r>
        <w:rPr>
          <w:rFonts w:ascii="Times New Roman" w:hAnsi="Times New Roman" w:cs="Times New Roman"/>
          <w:lang w:val="lv-LV"/>
        </w:rPr>
        <w:t xml:space="preserve">1.11.3.2. iesniedzot piedāvājumu, Pretendents ar drošu elektronisko parakstu un laika zīmogu paraksta Pretendenta </w:t>
      </w:r>
      <w:r>
        <w:rPr>
          <w:rFonts w:ascii="Times New Roman" w:hAnsi="Times New Roman" w:cs="Times New Roman"/>
          <w:strike/>
          <w:color w:val="EE0000"/>
          <w:lang w:val="lv-LV"/>
        </w:rPr>
        <w:t>tehnisko un finanšu piedāvājumu (4., 5. pielikumu)</w:t>
      </w:r>
      <w:r>
        <w:rPr>
          <w:rFonts w:ascii="Times New Roman" w:hAnsi="Times New Roman" w:cs="Times New Roman"/>
          <w:color w:val="EE0000"/>
          <w:lang w:val="lv-LV"/>
        </w:rPr>
        <w:t xml:space="preserve"> tehnisko specifikāciju un finanšu piedāvājumu (7. pielikumu)</w:t>
      </w:r>
      <w:r>
        <w:rPr>
          <w:rFonts w:ascii="Times New Roman" w:hAnsi="Times New Roman" w:cs="Times New Roman"/>
          <w:lang w:val="lv-LV"/>
        </w:rPr>
        <w:t>. Piedāvājumu paraksta Pretendentu pārstāvēt tiesīgā persona, pievienojot pārstāvību apliecinošu dokumentu (piemēram, pilnvaru);</w:t>
      </w:r>
    </w:p>
    <w:p w14:paraId="3A9014B0">
      <w:pPr>
        <w:spacing w:after="0" w:line="360" w:lineRule="auto"/>
        <w:ind w:firstLine="284"/>
        <w:jc w:val="both"/>
        <w:rPr>
          <w:rFonts w:ascii="Times New Roman" w:hAnsi="Times New Roman" w:cs="Times New Roman"/>
          <w:lang w:val="lv-LV"/>
        </w:rPr>
      </w:pPr>
      <w:r>
        <w:rPr>
          <w:rFonts w:ascii="Times New Roman" w:hAnsi="Times New Roman" w:cs="Times New Roman"/>
          <w:lang w:val="lv-LV"/>
        </w:rPr>
        <w:t>1.11.3.3. citus dokumentus Pretendents pēc saviem ieskatiem ir tiesīgs iesniegt elektroniskā formā, gan parakstot ar Elektronisko iepirkumu sistēmas piedāvāto elektronisko parakstu, gan parakstot ar drošu elektronisko parakstu;</w:t>
      </w:r>
    </w:p>
    <w:p w14:paraId="44766BA5">
      <w:pPr>
        <w:spacing w:after="0" w:line="360" w:lineRule="auto"/>
        <w:ind w:firstLine="284"/>
        <w:jc w:val="both"/>
        <w:rPr>
          <w:rFonts w:ascii="Times New Roman" w:hAnsi="Times New Roman" w:cs="Times New Roman"/>
          <w:lang w:val="lv-LV"/>
        </w:rPr>
      </w:pPr>
      <w:r>
        <w:rPr>
          <w:rFonts w:ascii="Times New Roman" w:hAnsi="Times New Roman" w:cs="Times New Roman"/>
          <w:lang w:val="lv-LV"/>
        </w:rPr>
        <w:t>1.11.3.4. piedāvājums jāiesniedz latviešu valodā. Dokumenti (piemēram, sertifikāti) var tikt iesniegti citā valodā ar pievienotu Pretendenta apliecinātu tulkojumu latviešu valodā. Pretējā gadījumā Iepirkumu komisija ir tiesīga uzskatīt, ka attiecīgais atlases vai kvalifikācijas dokuments nav iesniegts;</w:t>
      </w:r>
    </w:p>
    <w:p w14:paraId="0E0C6C44">
      <w:pPr>
        <w:spacing w:after="0" w:line="360" w:lineRule="auto"/>
        <w:ind w:firstLine="284"/>
        <w:jc w:val="both"/>
        <w:rPr>
          <w:rFonts w:ascii="Times New Roman" w:hAnsi="Times New Roman" w:cs="Times New Roman"/>
          <w:lang w:val="lv-LV"/>
        </w:rPr>
      </w:pPr>
      <w:r>
        <w:rPr>
          <w:rFonts w:ascii="Times New Roman" w:hAnsi="Times New Roman" w:cs="Times New Roman"/>
          <w:lang w:val="lv-LV"/>
        </w:rPr>
        <w:t>1.11.3.5.ja Pretendenta iesniegtais dokuments pārsniedz 3 (trīs) lapaspuses, var tikt pievienots tikai tā kopsavilkuma tulkojums latviešu valodā ar apliecinājumu par tulkojuma pareizību. Kopsavilkuma tulkojumā jābūt iztulkotām būtiskākajām dokumenta daļām, norādot konkrētas atsauces uz dokumenta daļām, kuras tika tulkotas;</w:t>
      </w:r>
    </w:p>
    <w:p w14:paraId="0DA21F95">
      <w:pPr>
        <w:spacing w:after="0" w:line="360" w:lineRule="auto"/>
        <w:ind w:firstLine="284"/>
        <w:jc w:val="both"/>
        <w:rPr>
          <w:rFonts w:ascii="Times New Roman" w:hAnsi="Times New Roman" w:cs="Times New Roman"/>
          <w:lang w:val="lv-LV"/>
        </w:rPr>
      </w:pPr>
      <w:r>
        <w:rPr>
          <w:rFonts w:ascii="Times New Roman" w:hAnsi="Times New Roman" w:cs="Times New Roman"/>
          <w:lang w:val="lv-LV"/>
        </w:rPr>
        <w:t>1.11.3.6.apliecinājumu par tulkojuma pareizību sagatavo saskaņā ar Ministru kabineta 2000. gada 22. augusta noteikumiem Nr.291 "Kārtība, kādā apliecināmi dokumentu tulkojumi valsts valodā". Iesniedzot piedāvājumu vai pieteikumu, kandidāts vai piegādātājs ir tiesīgs visu iesniegto dokumentu atvasinājumu un tulkojumu pareizību apliecināt ar vienu apliecinājumu;</w:t>
      </w:r>
    </w:p>
    <w:p w14:paraId="1FA2576B">
      <w:pPr>
        <w:spacing w:after="0" w:line="360" w:lineRule="auto"/>
        <w:ind w:firstLine="284"/>
        <w:jc w:val="both"/>
        <w:rPr>
          <w:rFonts w:ascii="Times New Roman" w:hAnsi="Times New Roman" w:cs="Times New Roman"/>
          <w:lang w:val="lv-LV"/>
        </w:rPr>
      </w:pPr>
      <w:r>
        <w:rPr>
          <w:rFonts w:ascii="Times New Roman" w:hAnsi="Times New Roman" w:cs="Times New Roman"/>
          <w:lang w:val="lv-LV"/>
        </w:rPr>
        <w:t>1.11.3.7. 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var pieprasīt, lai Pretendents uzrāda dokumenta oriģinālu vai iesniedz apliecinātu dokumenta kopiju.</w:t>
      </w:r>
    </w:p>
    <w:p w14:paraId="320077DE">
      <w:pPr>
        <w:spacing w:after="0" w:line="360" w:lineRule="auto"/>
        <w:jc w:val="both"/>
        <w:rPr>
          <w:rFonts w:ascii="Times New Roman" w:hAnsi="Times New Roman" w:cs="Times New Roman"/>
          <w:lang w:val="lv-LV"/>
        </w:rPr>
      </w:pPr>
      <w:r>
        <w:rPr>
          <w:rFonts w:ascii="Times New Roman" w:hAnsi="Times New Roman" w:cs="Times New Roman"/>
          <w:lang w:val="lv-LV"/>
        </w:rPr>
        <w:t>1.12. Iesniedzot piedāvājumu, Pretendents pilnībā atzīst visus Nolikumā (t.sk. tā pielikumos un formās, kuras ir ievietotas Elektronisko iepirkumu sistēmā e-konkursu apakšsistēmas šā iepirkuma sadaļā) ietvertos nosacījumus.</w:t>
      </w:r>
    </w:p>
    <w:p w14:paraId="57034AE0">
      <w:pPr>
        <w:spacing w:after="0" w:line="360" w:lineRule="auto"/>
        <w:jc w:val="both"/>
        <w:rPr>
          <w:rFonts w:ascii="Times New Roman" w:hAnsi="Times New Roman" w:cs="Times New Roman"/>
          <w:lang w:val="lv-LV"/>
        </w:rPr>
      </w:pPr>
      <w:r>
        <w:rPr>
          <w:rFonts w:ascii="Times New Roman" w:hAnsi="Times New Roman" w:cs="Times New Roman"/>
          <w:lang w:val="lv-LV"/>
        </w:rPr>
        <w:t>1.13. Iesniegtie piedāvājumi, izņemot, ja Pretendents piedāvājumu atsauc, paliek Pasūtītāja īpašumā.</w:t>
      </w:r>
    </w:p>
    <w:p w14:paraId="345C5B4D">
      <w:pPr>
        <w:spacing w:after="0" w:line="360" w:lineRule="auto"/>
        <w:jc w:val="both"/>
        <w:rPr>
          <w:rFonts w:ascii="Times New Roman" w:hAnsi="Times New Roman" w:cs="Times New Roman"/>
          <w:lang w:val="lv-LV"/>
        </w:rPr>
      </w:pPr>
      <w:r>
        <w:rPr>
          <w:rFonts w:ascii="Times New Roman" w:hAnsi="Times New Roman" w:cs="Times New Roman"/>
          <w:lang w:val="lv-LV"/>
        </w:rPr>
        <w:t>1.14. 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w:t>
      </w:r>
    </w:p>
    <w:p w14:paraId="56277057">
      <w:pPr>
        <w:spacing w:after="0" w:line="360" w:lineRule="auto"/>
        <w:jc w:val="both"/>
        <w:rPr>
          <w:rFonts w:ascii="Times New Roman" w:hAnsi="Times New Roman" w:cs="Times New Roman"/>
          <w:lang w:val="lv-LV"/>
        </w:rPr>
      </w:pPr>
      <w:r>
        <w:rPr>
          <w:rFonts w:ascii="Times New Roman" w:hAnsi="Times New Roman" w:cs="Times New Roman"/>
          <w:lang w:val="lv-LV"/>
        </w:rPr>
        <w:t>1.15. Pretendentu piedalīšanās ierobežojumi:</w:t>
      </w:r>
    </w:p>
    <w:p w14:paraId="420D8B81">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1.15.1. Iepirkumā var piedalīties Pretendents – fiziskā vai juridiskā persona, šādu personu apvienība jebkurā to kombinācijā, kurām ir tiesības veikt komercdarbību;</w:t>
      </w:r>
    </w:p>
    <w:p w14:paraId="1CAD9BCC">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1.15.2. Pasūtītājs var prasīt, lai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p>
    <w:p w14:paraId="4B3EA2F9">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1.15.3. Ja piedāvājumu iesniedz personālsabiedrība, tad, lai tā tiktu atzīta par Pretendentu Iepirkumā, ir jāiesniedz personālsabiedrības līguma kopija vai izraksts no līguma, vai cita dokumenta (protokols, vienošanās) kopija, kas apliecina katra personālsabiedrības biedra kompetenci un atbildības sadalījumu, ja tas nav ietverts personālsabiedrības līgumā vai tā izrakstā;</w:t>
      </w:r>
    </w:p>
    <w:p w14:paraId="3CFEF755">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1.15.4. Ja Pretendents līguma izpildē piesaista personu, uz kuras iespējām Pretendents balstās, lai apliecinātu atbilstību kvalifikācijas prasībām, Pretendentam ir jāiesniedz apliecinājums vai vienošanās par sadarbību konkrētā līguma izpildei;</w:t>
      </w:r>
    </w:p>
    <w:p w14:paraId="1C635FA8">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1.15.5. Ja Pretendents līguma izpildē piesaista apakšuzņēmēju, paredzot tam izpildei nodot konkrētu līguma daļu un tās vērtība ir vismaz 10 000 euro no kopējās Iepirkuma līguma vērtības vai lielāka, Pretendentam jāiesniedz apakšuzņēmēja parakstīts dokuments (apliecinājums vai vienošanās), kas pierāda apakšuzņēmēja uzņemtās saistības attiecībā uz Iepirkuma īstenošanu un piedalīšanos Iepirkuma līguma izpildē, kā arī informāciju par to, kādu Iepirkuma (līguma) daļu īstenos apakšuzņēmējs.</w:t>
      </w:r>
    </w:p>
    <w:p w14:paraId="2B597976">
      <w:pPr>
        <w:spacing w:after="0" w:line="360" w:lineRule="auto"/>
        <w:ind w:firstLine="142"/>
        <w:jc w:val="both"/>
        <w:rPr>
          <w:rFonts w:ascii="Times New Roman" w:hAnsi="Times New Roman" w:cs="Times New Roman"/>
          <w:lang w:val="lv-LV"/>
        </w:rPr>
      </w:pPr>
    </w:p>
    <w:p w14:paraId="22957E02">
      <w:pPr>
        <w:spacing w:after="0" w:line="360" w:lineRule="auto"/>
        <w:ind w:firstLine="142"/>
        <w:jc w:val="both"/>
        <w:rPr>
          <w:rFonts w:ascii="Times New Roman" w:hAnsi="Times New Roman" w:cs="Times New Roman"/>
          <w:lang w:val="lv-LV"/>
        </w:rPr>
      </w:pPr>
    </w:p>
    <w:p w14:paraId="5C0FD9E8">
      <w:pPr>
        <w:spacing w:after="0" w:line="360" w:lineRule="auto"/>
        <w:ind w:firstLine="142"/>
        <w:jc w:val="both"/>
        <w:rPr>
          <w:rFonts w:ascii="Times New Roman" w:hAnsi="Times New Roman" w:cs="Times New Roman"/>
          <w:lang w:val="lv-LV"/>
        </w:rPr>
      </w:pPr>
    </w:p>
    <w:p w14:paraId="6727888C">
      <w:pPr>
        <w:spacing w:after="0" w:line="360" w:lineRule="auto"/>
        <w:ind w:firstLine="142"/>
        <w:jc w:val="both"/>
        <w:rPr>
          <w:rFonts w:ascii="Times New Roman" w:hAnsi="Times New Roman" w:cs="Times New Roman"/>
          <w:lang w:val="lv-LV"/>
        </w:rPr>
      </w:pPr>
    </w:p>
    <w:p w14:paraId="72AE58F2">
      <w:pPr>
        <w:spacing w:after="0" w:line="360" w:lineRule="auto"/>
        <w:ind w:firstLine="142"/>
        <w:jc w:val="both"/>
        <w:rPr>
          <w:rFonts w:ascii="Times New Roman" w:hAnsi="Times New Roman" w:cs="Times New Roman"/>
          <w:lang w:val="lv-LV"/>
        </w:rPr>
      </w:pPr>
    </w:p>
    <w:p w14:paraId="25971FF2">
      <w:pPr>
        <w:spacing w:after="0" w:line="360" w:lineRule="auto"/>
        <w:ind w:firstLine="142"/>
        <w:jc w:val="both"/>
        <w:rPr>
          <w:rFonts w:ascii="Times New Roman" w:hAnsi="Times New Roman" w:cs="Times New Roman"/>
          <w:lang w:val="lv-LV"/>
        </w:rPr>
      </w:pPr>
    </w:p>
    <w:p w14:paraId="31B14D46">
      <w:pPr>
        <w:spacing w:after="0" w:line="360" w:lineRule="auto"/>
        <w:ind w:firstLine="142"/>
        <w:jc w:val="both"/>
        <w:rPr>
          <w:rFonts w:ascii="Times New Roman" w:hAnsi="Times New Roman" w:cs="Times New Roman"/>
          <w:lang w:val="lv-LV"/>
        </w:rPr>
      </w:pPr>
    </w:p>
    <w:p w14:paraId="79EE3F68">
      <w:pPr>
        <w:spacing w:after="0" w:line="360" w:lineRule="auto"/>
        <w:ind w:firstLine="142"/>
        <w:jc w:val="both"/>
        <w:rPr>
          <w:rFonts w:ascii="Times New Roman" w:hAnsi="Times New Roman" w:cs="Times New Roman"/>
          <w:lang w:val="lv-LV"/>
        </w:rPr>
      </w:pPr>
    </w:p>
    <w:p w14:paraId="440375D6">
      <w:pPr>
        <w:spacing w:after="0" w:line="360" w:lineRule="auto"/>
        <w:ind w:firstLine="142"/>
        <w:jc w:val="both"/>
        <w:rPr>
          <w:rFonts w:ascii="Times New Roman" w:hAnsi="Times New Roman" w:cs="Times New Roman"/>
          <w:lang w:val="lv-LV"/>
        </w:rPr>
      </w:pPr>
    </w:p>
    <w:p w14:paraId="53CC72B9">
      <w:pPr>
        <w:spacing w:after="0" w:line="360" w:lineRule="auto"/>
        <w:ind w:firstLine="142"/>
        <w:jc w:val="both"/>
        <w:rPr>
          <w:rFonts w:ascii="Times New Roman" w:hAnsi="Times New Roman" w:cs="Times New Roman"/>
          <w:lang w:val="lv-LV"/>
        </w:rPr>
      </w:pPr>
    </w:p>
    <w:p w14:paraId="655A1732">
      <w:pPr>
        <w:spacing w:after="0" w:line="360" w:lineRule="auto"/>
        <w:ind w:firstLine="142"/>
        <w:jc w:val="both"/>
        <w:rPr>
          <w:rFonts w:ascii="Times New Roman" w:hAnsi="Times New Roman" w:cs="Times New Roman"/>
          <w:lang w:val="lv-LV"/>
        </w:rPr>
      </w:pPr>
    </w:p>
    <w:p w14:paraId="4C38B9E5">
      <w:pPr>
        <w:spacing w:after="0" w:line="360" w:lineRule="auto"/>
        <w:ind w:firstLine="142"/>
        <w:jc w:val="both"/>
        <w:rPr>
          <w:rFonts w:ascii="Times New Roman" w:hAnsi="Times New Roman" w:cs="Times New Roman"/>
          <w:lang w:val="lv-LV"/>
        </w:rPr>
      </w:pPr>
    </w:p>
    <w:p w14:paraId="37407323">
      <w:pPr>
        <w:spacing w:after="0" w:line="360" w:lineRule="auto"/>
        <w:ind w:firstLine="142"/>
        <w:jc w:val="both"/>
        <w:rPr>
          <w:rFonts w:ascii="Times New Roman" w:hAnsi="Times New Roman" w:cs="Times New Roman"/>
          <w:lang w:val="lv-LV"/>
        </w:rPr>
      </w:pPr>
    </w:p>
    <w:p w14:paraId="3E8DE39A">
      <w:pPr>
        <w:spacing w:after="0" w:line="360" w:lineRule="auto"/>
        <w:ind w:firstLine="142"/>
        <w:jc w:val="both"/>
        <w:rPr>
          <w:rFonts w:ascii="Times New Roman" w:hAnsi="Times New Roman" w:cs="Times New Roman"/>
          <w:lang w:val="lv-LV"/>
        </w:rPr>
      </w:pPr>
    </w:p>
    <w:p w14:paraId="64615546">
      <w:pPr>
        <w:spacing w:after="0" w:line="360" w:lineRule="auto"/>
        <w:ind w:firstLine="142"/>
        <w:jc w:val="both"/>
        <w:rPr>
          <w:rFonts w:ascii="Times New Roman" w:hAnsi="Times New Roman" w:cs="Times New Roman"/>
          <w:lang w:val="lv-LV"/>
        </w:rPr>
      </w:pPr>
    </w:p>
    <w:p w14:paraId="05113F77">
      <w:pPr>
        <w:pStyle w:val="2"/>
        <w:numPr>
          <w:ilvl w:val="0"/>
          <w:numId w:val="1"/>
        </w:numPr>
        <w:spacing w:before="0" w:after="0"/>
        <w:jc w:val="center"/>
        <w:rPr>
          <w:rFonts w:ascii="Times New Roman" w:hAnsi="Times New Roman" w:cs="Times New Roman"/>
          <w:b/>
          <w:bCs/>
          <w:color w:val="000000" w:themeColor="text1"/>
          <w:sz w:val="28"/>
          <w:szCs w:val="28"/>
          <w:lang w:val="lv-LV"/>
          <w14:textFill>
            <w14:solidFill>
              <w14:schemeClr w14:val="tx1"/>
            </w14:solidFill>
          </w14:textFill>
        </w:rPr>
      </w:pPr>
      <w:bookmarkStart w:id="1" w:name="_Toc235703248"/>
      <w:r>
        <w:rPr>
          <w:rFonts w:ascii="Times New Roman" w:hAnsi="Times New Roman" w:cs="Times New Roman"/>
          <w:b/>
          <w:bCs/>
          <w:color w:val="000000" w:themeColor="text1"/>
          <w:sz w:val="28"/>
          <w:szCs w:val="28"/>
          <w:lang w:val="lv-LV"/>
          <w14:textFill>
            <w14:solidFill>
              <w14:schemeClr w14:val="tx1"/>
            </w14:solidFill>
          </w14:textFill>
        </w:rPr>
        <w:t>Nosacījumi pretendenta dalībai konkursā</w:t>
      </w:r>
      <w:bookmarkEnd w:id="1"/>
    </w:p>
    <w:p w14:paraId="01BC7454">
      <w:pPr>
        <w:spacing w:after="0"/>
        <w:rPr>
          <w:lang w:val="lv-LV"/>
        </w:rPr>
      </w:pPr>
    </w:p>
    <w:p w14:paraId="35C7618E">
      <w:pPr>
        <w:spacing w:after="0" w:line="360" w:lineRule="auto"/>
        <w:jc w:val="both"/>
        <w:rPr>
          <w:rFonts w:ascii="Times New Roman" w:hAnsi="Times New Roman" w:cs="Times New Roman"/>
          <w:lang w:val="lv-LV"/>
        </w:rPr>
      </w:pPr>
      <w:r>
        <w:rPr>
          <w:rFonts w:ascii="Times New Roman" w:hAnsi="Times New Roman" w:cs="Times New Roman"/>
          <w:lang w:val="lv-LV"/>
        </w:rPr>
        <w:t xml:space="preserve">2.1. Iepirkumā var piedalīties piegādātāji PIL 1.panta 22.punkta izpratnē, kuri ir iesnieguši Nolikumā minētos dokumentus. Piedalīšanās iepirkumā ir Pretendenta brīvas gribas izpausme. Iepirkuma noteikumi visiem Pretendentiem ir vienādi. </w:t>
      </w:r>
    </w:p>
    <w:p w14:paraId="3CF6506B">
      <w:pPr>
        <w:spacing w:after="0" w:line="360" w:lineRule="auto"/>
        <w:jc w:val="both"/>
        <w:rPr>
          <w:rFonts w:ascii="Times New Roman" w:hAnsi="Times New Roman" w:cs="Times New Roman"/>
          <w:lang w:val="lv-LV"/>
        </w:rPr>
      </w:pPr>
      <w:r>
        <w:rPr>
          <w:rFonts w:ascii="Times New Roman" w:hAnsi="Times New Roman" w:cs="Times New Roman"/>
          <w:lang w:val="lv-LV"/>
        </w:rPr>
        <w:t xml:space="preserve">2.2. Iepirkuma komisija pretendentu vai PIL 42. panta trešās daļas 1., 2. un 3. punktā norādītās personas izslēdz no dalības iepirkuma procedūrā, ja uz norādītajām personām attiecas PIL 42. panta otrās daļas 1., 2., 3., 4., 5., 6., 7., 10., 11., 12., 13. un 14. punktā noteiktie izslēgšanas gadījumi. </w:t>
      </w:r>
    </w:p>
    <w:p w14:paraId="5077DC75">
      <w:pPr>
        <w:spacing w:after="0" w:line="360" w:lineRule="auto"/>
        <w:jc w:val="both"/>
        <w:rPr>
          <w:rFonts w:ascii="Times New Roman" w:hAnsi="Times New Roman" w:cs="Times New Roman"/>
          <w:lang w:val="lv-LV"/>
        </w:rPr>
      </w:pPr>
      <w:r>
        <w:rPr>
          <w:rFonts w:ascii="Times New Roman" w:hAnsi="Times New Roman" w:cs="Times New Roman"/>
          <w:lang w:val="lv-LV"/>
        </w:rPr>
        <w:t>2.3. Ja Iepirkuma komisija konstatē, ka pretendents būtu izslēdzams no dalības iepirkuma procedūrā, pamatojoties uz PIL 42. panta otrās daļas 1., 4., 5., 6., 7., 10., 11., 12., 13. un 14. punktā minētajiem izslēgšanas iemesliem, tai skaitā saistībā ar PIL 42. panta trešās daļas 1. punktā minēto personu, un nav piemērojami PIL 42. panta ceturtās daļas 2., 3., 4., 5. un 6. punktā noteiktie izņēmumi, Iepirkuma komisija dod pretendentam tiesības termiņā, kas ir vismaz 10 dienas pēc informācijas pieprasījuma nosūtīšanas dienas, iesniegt skaidrojumu un pierādījumus, kas apliecina pretendenta uzticamību saskaņā ar šā panta noteikumiem.</w:t>
      </w:r>
    </w:p>
    <w:p w14:paraId="21514833">
      <w:pPr>
        <w:spacing w:after="0" w:line="360" w:lineRule="auto"/>
        <w:jc w:val="both"/>
        <w:rPr>
          <w:rFonts w:ascii="Times New Roman" w:hAnsi="Times New Roman" w:cs="Times New Roman"/>
          <w:lang w:val="lv-LV"/>
        </w:rPr>
      </w:pPr>
      <w:r>
        <w:rPr>
          <w:rFonts w:ascii="Times New Roman" w:hAnsi="Times New Roman" w:cs="Times New Roman"/>
          <w:lang w:val="lv-LV"/>
        </w:rPr>
        <w:t>2.4. Pirms lēmuma pieņemšanas par līguma slēgšanas tiesību piešķiršanu, Pasūtītāja Iepirkuma komisija attiecībā uz Pretendentu (un apakšuzņēmēju, ja tāds tiek piesaistīts), kuram būtu piešķiramas līguma slēgšanas tiesības, veic pārbaudi par Starptautisko un Latvijas Republikas nacionālo sankciju likuma 11.1 panta pirmajā daļā minēto izslēgšanas gadījumu esamību Starptautisko un Latvijas Republikas nacionālo sankciju likuma 11.1 panta pirmajā un otrajā daļā noteiktajā kārtībā.</w:t>
      </w:r>
    </w:p>
    <w:p w14:paraId="464BA23F">
      <w:pPr>
        <w:spacing w:after="0" w:line="360" w:lineRule="auto"/>
        <w:jc w:val="both"/>
        <w:rPr>
          <w:rFonts w:ascii="Times New Roman" w:hAnsi="Times New Roman" w:cs="Times New Roman"/>
          <w:lang w:val="lv-LV"/>
        </w:rPr>
      </w:pPr>
      <w:r>
        <w:rPr>
          <w:rFonts w:ascii="Times New Roman" w:hAnsi="Times New Roman" w:cs="Times New Roman"/>
          <w:lang w:val="lv-LV"/>
        </w:rPr>
        <w:t>2.5. Lai Pasūtītāja Iepirkuma komisija pārbaudītu, vai uz ārvalstī reģistrētu Pretendentu, kuram piešķiramas Līguma slēgšanas tiesības, neattiecas Starptautisko un Latvijas Republikas nacionālo sankciju likumā noteiktās sankcijas, Pretendentam 10 darbdienu laikā no attiecīga pieprasījuma saņemšanas ir jāiesniedz kompetentas institūcijas (piemēram, Latvijas Republikas Uzņēmumu reģistram līdzvērtīgas iestādes) izziņu (-as), kas atspoguļo aktuālo informāciju par amatpersonām – valdes vai padomes locekļiem, pārstāvēt tiesīgajām personām vai prokūristiem vai personām, kuras ir pilnvarotas pārstāvēt Pretendentu darbībās, kas saistītas ar filiāli.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 Pasūtītāja Iepirkuma komisija Starptautisko un Latvijas Republikas nacionālo sankciju likuma 11.1panta pirmajā daļā paredzētajai pārbaudei nepieciešamās ziņas attiecībā uz ārvalstī reģistrētu Pretendentu var iegūt arī patstāvīgi.</w:t>
      </w:r>
    </w:p>
    <w:p w14:paraId="5E9C1CEF">
      <w:pPr>
        <w:spacing w:after="0" w:line="360" w:lineRule="auto"/>
        <w:jc w:val="both"/>
        <w:rPr>
          <w:rFonts w:ascii="Times New Roman" w:hAnsi="Times New Roman" w:cs="Times New Roman"/>
          <w:lang w:val="lv-LV"/>
        </w:rPr>
      </w:pPr>
      <w:r>
        <w:rPr>
          <w:rFonts w:ascii="Times New Roman" w:hAnsi="Times New Roman" w:cs="Times New Roman"/>
          <w:lang w:val="lv-LV"/>
        </w:rPr>
        <w:t>2.6. Pasūtītāja Iepirkuma komisija noraida Pretendenta piedāvājumu iepirkuma procedūrā, ja tiek konstatēts, ka piegādātājs iepirkuma līguma izpildē ietver Krievijas Federācijas un Baltkrievijas Republikas izcelsmes preces un pakalpojumus (Publisko iepirkumu likuma 2.2 pants).</w:t>
      </w:r>
    </w:p>
    <w:p w14:paraId="260ED2B2">
      <w:pPr>
        <w:spacing w:after="0" w:line="360" w:lineRule="auto"/>
        <w:jc w:val="both"/>
        <w:rPr>
          <w:rFonts w:ascii="Times New Roman" w:hAnsi="Times New Roman" w:cs="Times New Roman"/>
          <w:lang w:val="lv-LV"/>
        </w:rPr>
      </w:pPr>
    </w:p>
    <w:p w14:paraId="21B5B049">
      <w:pPr>
        <w:pStyle w:val="2"/>
        <w:numPr>
          <w:ilvl w:val="0"/>
          <w:numId w:val="1"/>
        </w:numPr>
        <w:spacing w:before="0" w:after="0"/>
        <w:jc w:val="center"/>
        <w:rPr>
          <w:rFonts w:ascii="Times New Roman" w:hAnsi="Times New Roman" w:cs="Times New Roman"/>
          <w:b/>
          <w:bCs/>
          <w:color w:val="000000" w:themeColor="text1"/>
          <w:sz w:val="28"/>
          <w:szCs w:val="28"/>
          <w:lang w:val="lv-LV"/>
          <w14:textFill>
            <w14:solidFill>
              <w14:schemeClr w14:val="tx1"/>
            </w14:solidFill>
          </w14:textFill>
        </w:rPr>
      </w:pPr>
      <w:bookmarkStart w:id="2" w:name="_Toc235703249"/>
      <w:r>
        <w:rPr>
          <w:rFonts w:ascii="Times New Roman" w:hAnsi="Times New Roman" w:cs="Times New Roman"/>
          <w:b/>
          <w:bCs/>
          <w:color w:val="000000" w:themeColor="text1"/>
          <w:sz w:val="28"/>
          <w:szCs w:val="28"/>
          <w:lang w:val="lv-LV"/>
          <w14:textFill>
            <w14:solidFill>
              <w14:schemeClr w14:val="tx1"/>
            </w14:solidFill>
          </w14:textFill>
        </w:rPr>
        <w:t>Iepirkumu komisija, tiesības un pienākumi</w:t>
      </w:r>
      <w:bookmarkEnd w:id="2"/>
    </w:p>
    <w:p w14:paraId="5238AE25">
      <w:pPr>
        <w:spacing w:after="0"/>
        <w:rPr>
          <w:lang w:val="lv-LV"/>
        </w:rPr>
      </w:pPr>
    </w:p>
    <w:p w14:paraId="637DA22C">
      <w:pPr>
        <w:spacing w:after="0" w:line="360" w:lineRule="auto"/>
        <w:jc w:val="both"/>
        <w:rPr>
          <w:rFonts w:ascii="Times New Roman" w:hAnsi="Times New Roman" w:cs="Times New Roman"/>
          <w:lang w:val="lv-LV"/>
        </w:rPr>
      </w:pPr>
      <w:r>
        <w:rPr>
          <w:rFonts w:ascii="Times New Roman" w:hAnsi="Times New Roman" w:cs="Times New Roman"/>
          <w:lang w:val="lv-LV"/>
        </w:rPr>
        <w:t>3.1. Iepirkumu komisija ir izveidota un veic savus pienākumus Likumā noteiktajā kārtībā.</w:t>
      </w:r>
    </w:p>
    <w:p w14:paraId="65C35EEE">
      <w:pPr>
        <w:spacing w:after="0" w:line="360" w:lineRule="auto"/>
        <w:jc w:val="both"/>
        <w:rPr>
          <w:rFonts w:ascii="Times New Roman" w:hAnsi="Times New Roman" w:cs="Times New Roman"/>
          <w:lang w:val="lv-LV"/>
        </w:rPr>
      </w:pPr>
      <w:r>
        <w:rPr>
          <w:rFonts w:ascii="Times New Roman" w:hAnsi="Times New Roman" w:cs="Times New Roman"/>
          <w:lang w:val="lv-LV"/>
        </w:rPr>
        <w:t>3.2. Iepirkumu komisija pārbauda visu Pretendentu finanšu piedāvājumus (vai piedāvājumā nav aritmētisku kļūdu) un nepamatoti lēta piedāvājuma esamību. Ja Iepirkumu komisija konstatē aritmētiskās kļūdas, tad šīs kļūdas izlabo. Par kļūdu labojumu un laboto piedāvājuma summu Pasūtītājs paziņo Pretendentam, kura pieļautās kļūdas labotas. Vērtējot finanšu piedāvājumu, Iepirkumu komisija ņem vērā labojumus.</w:t>
      </w:r>
    </w:p>
    <w:p w14:paraId="131DAE59">
      <w:pPr>
        <w:spacing w:after="0" w:line="360" w:lineRule="auto"/>
        <w:jc w:val="both"/>
        <w:rPr>
          <w:rFonts w:ascii="Times New Roman" w:hAnsi="Times New Roman" w:cs="Times New Roman"/>
          <w:lang w:val="lv-LV"/>
        </w:rPr>
      </w:pPr>
      <w:r>
        <w:rPr>
          <w:rFonts w:ascii="Times New Roman" w:hAnsi="Times New Roman" w:cs="Times New Roman"/>
          <w:lang w:val="lv-LV"/>
        </w:rPr>
        <w:t>3.3. Ja jebkurā vērtēšanas stadijā atklājas, ka Pretendents nav sniedzis nepieciešamās ziņas, Iepirkumu komisija var izslēgt Pretendenta piedāvājumu no tālākās vērtēšanas.</w:t>
      </w:r>
    </w:p>
    <w:p w14:paraId="74B656A8">
      <w:pPr>
        <w:spacing w:after="0" w:line="360" w:lineRule="auto"/>
        <w:jc w:val="both"/>
        <w:rPr>
          <w:rFonts w:ascii="Times New Roman" w:hAnsi="Times New Roman" w:cs="Times New Roman"/>
          <w:lang w:val="lv-LV"/>
        </w:rPr>
      </w:pPr>
      <w:r>
        <w:rPr>
          <w:rFonts w:ascii="Times New Roman" w:hAnsi="Times New Roman" w:cs="Times New Roman"/>
          <w:lang w:val="lv-LV"/>
        </w:rPr>
        <w:t>3.4. Pēc piedāvājumu iesniegšanas termiņa beigām Iepirkumu komisija izvērtē iesniegtos piedāvājumus. Iepirkumu komisija par uzvarētāju Iepirkumā atzīst Pretendentu, kurš izraudzīts atbilstoši Nolikuma noteiktajām prasībām un kritērijiem un nav izslēdzams no dalības Iepirkumā. Lēmumā, ar kuru tiek noteikts uzvarētājs, papildus norāda visus noraidītos Pretendentus un to noraidīšanas iemeslus, visu Pretendentu piedāvātās līgumcenas un par uzvarētāju noteiktā Pretendenta salīdzinošās priekšrocības.</w:t>
      </w:r>
    </w:p>
    <w:p w14:paraId="1227726E">
      <w:pPr>
        <w:spacing w:after="0" w:line="360" w:lineRule="auto"/>
        <w:jc w:val="both"/>
        <w:rPr>
          <w:rFonts w:ascii="Times New Roman" w:hAnsi="Times New Roman" w:cs="Times New Roman"/>
          <w:lang w:val="lv-LV"/>
        </w:rPr>
      </w:pPr>
      <w:r>
        <w:rPr>
          <w:rFonts w:ascii="Times New Roman" w:hAnsi="Times New Roman" w:cs="Times New Roman"/>
          <w:lang w:val="lv-LV"/>
        </w:rPr>
        <w:t>3.5. Nodrošināt Iepirkuma norisi un dokumentēšanu.</w:t>
      </w:r>
    </w:p>
    <w:p w14:paraId="0E5DA222">
      <w:pPr>
        <w:spacing w:after="0" w:line="360" w:lineRule="auto"/>
        <w:jc w:val="both"/>
        <w:rPr>
          <w:rFonts w:ascii="Times New Roman" w:hAnsi="Times New Roman" w:cs="Times New Roman"/>
          <w:lang w:val="lv-LV"/>
        </w:rPr>
      </w:pPr>
      <w:r>
        <w:rPr>
          <w:rFonts w:ascii="Times New Roman" w:hAnsi="Times New Roman" w:cs="Times New Roman"/>
          <w:lang w:val="lv-LV"/>
        </w:rPr>
        <w:t>3.6. Nodrošināt Pretendentu brīvu konkurenci, kā arī vienlīdzīgu un taisnīgu attieksmi pret tiem.</w:t>
      </w:r>
    </w:p>
    <w:p w14:paraId="3921A05C">
      <w:pPr>
        <w:spacing w:after="0" w:line="360" w:lineRule="auto"/>
        <w:jc w:val="both"/>
        <w:rPr>
          <w:rFonts w:ascii="Times New Roman" w:hAnsi="Times New Roman" w:cs="Times New Roman"/>
          <w:lang w:val="lv-LV"/>
        </w:rPr>
      </w:pPr>
      <w:r>
        <w:rPr>
          <w:rFonts w:ascii="Times New Roman" w:hAnsi="Times New Roman" w:cs="Times New Roman"/>
          <w:lang w:val="lv-LV"/>
        </w:rPr>
        <w:t>3.7. Pēc ieinteresēto Pretendentu pieprasījuma normatīvajos aktos noteiktajā kārtībā sniegt informāciju par Nolikumu.</w:t>
      </w:r>
    </w:p>
    <w:p w14:paraId="5A11B121">
      <w:pPr>
        <w:spacing w:after="0" w:line="360" w:lineRule="auto"/>
        <w:jc w:val="both"/>
        <w:rPr>
          <w:rFonts w:ascii="Times New Roman" w:hAnsi="Times New Roman" w:cs="Times New Roman"/>
          <w:lang w:val="lv-LV"/>
        </w:rPr>
      </w:pPr>
      <w:r>
        <w:rPr>
          <w:rFonts w:ascii="Times New Roman" w:hAnsi="Times New Roman" w:cs="Times New Roman"/>
          <w:lang w:val="lv-LV"/>
        </w:rPr>
        <w:t>3.8. Iepirkumu komisijas pienākums ir vienlaikus ar papildu informācijas nosūtīšanu Pretendentam, kas uzdevis jautājumu, ievietot šo informāciju Pasūtītāja tīmekļa vietnē, kurā ir pieejams Nolikums, norādot arī uzdoto jautājumu.</w:t>
      </w:r>
    </w:p>
    <w:p w14:paraId="73C5124E">
      <w:pPr>
        <w:spacing w:after="0" w:line="360" w:lineRule="auto"/>
        <w:jc w:val="both"/>
        <w:rPr>
          <w:rFonts w:ascii="Times New Roman" w:hAnsi="Times New Roman" w:cs="Times New Roman"/>
          <w:lang w:val="lv-LV"/>
        </w:rPr>
      </w:pPr>
      <w:r>
        <w:rPr>
          <w:rFonts w:ascii="Times New Roman" w:hAnsi="Times New Roman" w:cs="Times New Roman"/>
          <w:lang w:val="lv-LV"/>
        </w:rPr>
        <w:t>3.9. Iepirkumu komisijas pienākums ir izskatīt Pretendentu piedāvājumus, novērtēt to atbilstību Nolikuma prasībām un tiesības noteikt Iepirkuma uzvarētāju.</w:t>
      </w:r>
    </w:p>
    <w:p w14:paraId="6A5C39F0">
      <w:pPr>
        <w:spacing w:after="0" w:line="360" w:lineRule="auto"/>
        <w:jc w:val="both"/>
        <w:rPr>
          <w:rFonts w:ascii="Times New Roman" w:hAnsi="Times New Roman" w:cs="Times New Roman"/>
          <w:lang w:val="lv-LV"/>
        </w:rPr>
      </w:pPr>
      <w:r>
        <w:rPr>
          <w:rFonts w:ascii="Times New Roman" w:hAnsi="Times New Roman" w:cs="Times New Roman"/>
          <w:lang w:val="lv-LV"/>
        </w:rPr>
        <w:t>3.10. Iepirkumu komisijas pienākums ir rakstiski informēt visus Pretendentus par Iepirkuma rezultātiem pēc lēmuma pieņemšanas.</w:t>
      </w:r>
    </w:p>
    <w:p w14:paraId="6F2792E9">
      <w:pPr>
        <w:spacing w:after="0" w:line="360" w:lineRule="auto"/>
        <w:jc w:val="both"/>
        <w:rPr>
          <w:rFonts w:ascii="Times New Roman" w:hAnsi="Times New Roman" w:cs="Times New Roman"/>
          <w:lang w:val="lv-LV"/>
        </w:rPr>
      </w:pPr>
    </w:p>
    <w:p w14:paraId="5C3BF5F8">
      <w:pPr>
        <w:pStyle w:val="2"/>
        <w:numPr>
          <w:ilvl w:val="0"/>
          <w:numId w:val="1"/>
        </w:numPr>
        <w:spacing w:before="0" w:after="0" w:line="360" w:lineRule="auto"/>
        <w:ind w:left="0"/>
        <w:jc w:val="center"/>
        <w:rPr>
          <w:rFonts w:ascii="Times New Roman" w:hAnsi="Times New Roman" w:cs="Times New Roman"/>
          <w:b/>
          <w:bCs/>
          <w:color w:val="000000" w:themeColor="text1"/>
          <w:sz w:val="28"/>
          <w:szCs w:val="28"/>
          <w:lang w:val="lv-LV"/>
          <w14:textFill>
            <w14:solidFill>
              <w14:schemeClr w14:val="tx1"/>
            </w14:solidFill>
          </w14:textFill>
        </w:rPr>
      </w:pPr>
      <w:bookmarkStart w:id="3" w:name="_Toc235703250"/>
      <w:r>
        <w:rPr>
          <w:rFonts w:ascii="Times New Roman" w:hAnsi="Times New Roman" w:cs="Times New Roman"/>
          <w:b/>
          <w:bCs/>
          <w:color w:val="000000" w:themeColor="text1"/>
          <w:sz w:val="28"/>
          <w:szCs w:val="28"/>
          <w:lang w:val="lv-LV"/>
          <w14:textFill>
            <w14:solidFill>
              <w14:schemeClr w14:val="tx1"/>
            </w14:solidFill>
          </w14:textFill>
        </w:rPr>
        <w:t>Pretendenta pienākumi un tiesības</w:t>
      </w:r>
      <w:bookmarkEnd w:id="3"/>
    </w:p>
    <w:p w14:paraId="035818B8">
      <w:pPr>
        <w:spacing w:after="0"/>
        <w:rPr>
          <w:lang w:val="lv-LV"/>
        </w:rPr>
      </w:pPr>
    </w:p>
    <w:p w14:paraId="65B8F45A">
      <w:pPr>
        <w:spacing w:after="0" w:line="360" w:lineRule="auto"/>
        <w:jc w:val="both"/>
        <w:rPr>
          <w:rFonts w:ascii="Times New Roman" w:hAnsi="Times New Roman" w:cs="Times New Roman"/>
          <w:lang w:val="lv-LV"/>
        </w:rPr>
      </w:pPr>
      <w:r>
        <w:rPr>
          <w:rFonts w:ascii="Times New Roman" w:hAnsi="Times New Roman" w:cs="Times New Roman"/>
          <w:lang w:val="lv-LV"/>
        </w:rPr>
        <w:t xml:space="preserve">4.1. </w:t>
      </w:r>
      <w:r>
        <w:rPr>
          <w:rFonts w:ascii="Times New Roman" w:hAnsi="Times New Roman" w:cs="Times New Roman"/>
          <w:b/>
          <w:bCs/>
          <w:lang w:val="lv-LV"/>
        </w:rPr>
        <w:t>Pretendentu tiesības:</w:t>
      </w:r>
    </w:p>
    <w:p w14:paraId="038312AA">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4.1.1. Ja ieinteresētais Pretendents ir laikus pieprasījis papildu informāciju par Iepirkuma procedūras dokumentos iekļautajām prasībām par pieteikuma sagatavošanu un iesniegšanu vai Pretendentu atlasi, Pasūtītājs to sniedz 3 (triju) darbdienu laikā, bet ne vēlāk kā 4 (četras) dienas pirms pieteikuma un piedāvājuma iesniegšanas termiņa beigām;</w:t>
      </w:r>
    </w:p>
    <w:p w14:paraId="566FC1CC">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4.1.2. Pretendentam ir tiesības pārsūdzēt Iepirkumu komisijas pieņemto lēmumu saskaņā ar Likumu.</w:t>
      </w:r>
    </w:p>
    <w:p w14:paraId="186A983D">
      <w:pPr>
        <w:spacing w:after="0" w:line="360" w:lineRule="auto"/>
        <w:jc w:val="both"/>
        <w:rPr>
          <w:rFonts w:ascii="Times New Roman" w:hAnsi="Times New Roman" w:cs="Times New Roman"/>
          <w:lang w:val="lv-LV"/>
        </w:rPr>
      </w:pPr>
      <w:r>
        <w:rPr>
          <w:rFonts w:ascii="Times New Roman" w:hAnsi="Times New Roman" w:cs="Times New Roman"/>
          <w:lang w:val="lv-LV"/>
        </w:rPr>
        <w:t xml:space="preserve">4.2. </w:t>
      </w:r>
      <w:r>
        <w:rPr>
          <w:rFonts w:ascii="Times New Roman" w:hAnsi="Times New Roman" w:cs="Times New Roman"/>
          <w:b/>
          <w:bCs/>
          <w:lang w:val="lv-LV"/>
        </w:rPr>
        <w:t>Pretendentu pienākumi:</w:t>
      </w:r>
    </w:p>
    <w:p w14:paraId="4C5F0991">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4.2.1. Pretendents iesniedz piedāvājumu atbilstoši Nolikuma prasībām;</w:t>
      </w:r>
    </w:p>
    <w:p w14:paraId="74FEDC5C">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4.2.2. Pretendents var iesniegt vienu piedāvājumu;</w:t>
      </w:r>
    </w:p>
    <w:p w14:paraId="7058A9B5">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4.2.3. Katrs Pretendents, iesniedzot piedāvājumu, apņemas ievērot visus Nolikumā minētos nosacījumus kā pamatu Iepirkuma līguma noslēgšanai;</w:t>
      </w:r>
    </w:p>
    <w:p w14:paraId="1473815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4.2.4. Pretendentam, kuram atbilstoši izraudzītajam piedāvājuma izvēles kritērijam ir piešķirtas līguma slēgšanas tiesības, ir pienākums noslēgt Iepirkuma līgumu saskaņā ar Nolikumam pievienoto Iepirkuma līguma projektu, pēc Pasūtītāja pieprasījuma, kurš sagatavots apstākļos, kad vairs nepastāv tiesiski šķēršļi Iepirkuma līguma noslēgšanai. Iepirkuma uzvarētāja atteikšanos noslēgt līgumu vai parakstīta līguma eksemplāra nepiegādāšana Pasūtītājam 10 (desmit) darba dienu laikā, tiks uzskatīta par Pretendenta piedāvājuma atsaukšanu;</w:t>
      </w:r>
    </w:p>
    <w:p w14:paraId="2E3682F6">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 xml:space="preserve">4.2.5. Pretendents uzņemas visas izmaksas, kuras saistītas ar Pretendenta tehniskā un finanšu piedāvājumu sagatavošanu, iesniegšanu un apņemas necelt pret Pasūtītāju nekādas pretenzijas par minētajām izmaksām; </w:t>
      </w:r>
    </w:p>
    <w:p w14:paraId="7C4AD75A">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4.2.6. Sekot līdzi tiešsaistes režīmā Elektronisko iepirkumu sistēmas e-konkursu apakšsistēmā izvietotajai aktuālajai informācijai par Iepirkuma norises gaitu, t.sk., atbildēm uz Pretendentu uzdotajiem jautājumiem, skaidrojumiem, grozījumiem Nolikumā, Iepirkuma līguma tiesību piešķiršanu u.c.</w:t>
      </w:r>
    </w:p>
    <w:p w14:paraId="5E349C8B">
      <w:pPr>
        <w:spacing w:after="0" w:line="360" w:lineRule="auto"/>
        <w:ind w:firstLine="284"/>
        <w:jc w:val="both"/>
        <w:rPr>
          <w:rFonts w:ascii="Times New Roman" w:hAnsi="Times New Roman" w:cs="Times New Roman"/>
          <w:lang w:val="lv-LV"/>
        </w:rPr>
      </w:pPr>
      <w:r>
        <w:rPr>
          <w:rFonts w:ascii="Times New Roman" w:hAnsi="Times New Roman" w:cs="Times New Roman"/>
          <w:lang w:val="lv-LV"/>
        </w:rPr>
        <w:t>4.2.7.  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14:paraId="23665C49">
      <w:pPr>
        <w:spacing w:after="0" w:line="360" w:lineRule="auto"/>
        <w:jc w:val="both"/>
        <w:rPr>
          <w:rFonts w:ascii="Times New Roman" w:hAnsi="Times New Roman" w:cs="Times New Roman"/>
          <w:lang w:val="lv-LV"/>
        </w:rPr>
      </w:pPr>
    </w:p>
    <w:p w14:paraId="28EF238E">
      <w:pPr>
        <w:pStyle w:val="2"/>
        <w:numPr>
          <w:ilvl w:val="0"/>
          <w:numId w:val="1"/>
        </w:numPr>
        <w:spacing w:before="0" w:after="0"/>
        <w:ind w:left="0"/>
        <w:jc w:val="center"/>
        <w:rPr>
          <w:rFonts w:ascii="Times New Roman" w:hAnsi="Times New Roman" w:cs="Times New Roman"/>
          <w:b/>
          <w:bCs/>
          <w:color w:val="000000" w:themeColor="text1"/>
          <w:sz w:val="28"/>
          <w:szCs w:val="28"/>
          <w:lang w:val="lv-LV"/>
          <w14:textFill>
            <w14:solidFill>
              <w14:schemeClr w14:val="tx1"/>
            </w14:solidFill>
          </w14:textFill>
        </w:rPr>
      </w:pPr>
      <w:bookmarkStart w:id="4" w:name="_Toc235703251"/>
      <w:r>
        <w:rPr>
          <w:rFonts w:ascii="Times New Roman" w:hAnsi="Times New Roman" w:cs="Times New Roman"/>
          <w:b/>
          <w:bCs/>
          <w:color w:val="000000" w:themeColor="text1"/>
          <w:sz w:val="28"/>
          <w:szCs w:val="28"/>
          <w:lang w:val="lv-LV"/>
          <w14:textFill>
            <w14:solidFill>
              <w14:schemeClr w14:val="tx1"/>
            </w14:solidFill>
          </w14:textFill>
        </w:rPr>
        <w:t>Pretendenta kvalifikācija</w:t>
      </w:r>
      <w:bookmarkEnd w:id="4"/>
    </w:p>
    <w:p w14:paraId="7933B98D">
      <w:pPr>
        <w:spacing w:after="0"/>
        <w:rPr>
          <w:lang w:val="lv-LV"/>
        </w:rPr>
      </w:pPr>
    </w:p>
    <w:p w14:paraId="5062548D">
      <w:pPr>
        <w:spacing w:after="0" w:line="360" w:lineRule="auto"/>
        <w:jc w:val="both"/>
        <w:rPr>
          <w:rFonts w:ascii="Times New Roman" w:hAnsi="Times New Roman" w:cs="Times New Roman"/>
          <w:color w:val="000000" w:themeColor="text1"/>
          <w:lang w:val="lv-LV"/>
          <w14:textFill>
            <w14:solidFill>
              <w14:schemeClr w14:val="tx1"/>
            </w14:solidFill>
          </w14:textFill>
        </w:rPr>
      </w:pPr>
      <w:r>
        <w:rPr>
          <w:rFonts w:ascii="Times New Roman" w:hAnsi="Times New Roman" w:cs="Times New Roman"/>
          <w:color w:val="000000" w:themeColor="text1"/>
          <w:lang w:val="lv-LV"/>
          <w14:textFill>
            <w14:solidFill>
              <w14:schemeClr w14:val="tx1"/>
            </w14:solidFill>
          </w14:textFill>
        </w:rPr>
        <w:t>5.1. Prasības pretendentam (kā arī pretendenta norādītajai personai, uz kuras iespējām pretendents balstās), kas nepieciešamas, lai novērtētu pretendentu:</w:t>
      </w:r>
    </w:p>
    <w:p w14:paraId="675288A7">
      <w:pPr>
        <w:spacing w:after="0" w:line="360" w:lineRule="auto"/>
        <w:ind w:firstLine="142"/>
        <w:jc w:val="both"/>
        <w:rPr>
          <w:rFonts w:ascii="Times New Roman" w:hAnsi="Times New Roman" w:cs="Times New Roman"/>
          <w:color w:val="000000" w:themeColor="text1"/>
          <w:lang w:val="lv-LV"/>
          <w14:textFill>
            <w14:solidFill>
              <w14:schemeClr w14:val="tx1"/>
            </w14:solidFill>
          </w14:textFill>
        </w:rPr>
      </w:pPr>
      <w:r>
        <w:rPr>
          <w:rFonts w:ascii="Times New Roman" w:hAnsi="Times New Roman" w:cs="Times New Roman"/>
          <w:color w:val="000000" w:themeColor="text1"/>
          <w:lang w:val="lv-LV"/>
          <w14:textFill>
            <w14:solidFill>
              <w14:schemeClr w14:val="tx1"/>
            </w14:solidFill>
          </w14:textFill>
        </w:rPr>
        <w:t>5.1.1. Pretendentam jābūt reģistrētam atbilstoši attiecīgās valsts normatīvo aktu prasībām;</w:t>
      </w:r>
    </w:p>
    <w:p w14:paraId="645149EE">
      <w:pPr>
        <w:spacing w:after="0" w:line="360" w:lineRule="auto"/>
        <w:ind w:firstLine="142"/>
        <w:jc w:val="both"/>
        <w:rPr>
          <w:rFonts w:ascii="Times New Roman" w:hAnsi="Times New Roman" w:cs="Times New Roman"/>
          <w:color w:val="000000" w:themeColor="text1"/>
          <w:lang w:val="lv-LV"/>
          <w14:textFill>
            <w14:solidFill>
              <w14:schemeClr w14:val="tx1"/>
            </w14:solidFill>
          </w14:textFill>
        </w:rPr>
      </w:pPr>
      <w:r>
        <w:rPr>
          <w:rFonts w:ascii="Times New Roman" w:hAnsi="Times New Roman" w:cs="Times New Roman"/>
          <w:color w:val="000000" w:themeColor="text1"/>
          <w:lang w:val="lv-LV"/>
          <w14:textFill>
            <w14:solidFill>
              <w14:schemeClr w14:val="tx1"/>
            </w14:solidFill>
          </w14:textFill>
        </w:rPr>
        <w:t>5.1.2. Pretendentam iepriekšējo 3 (trīs) gadu laikā (2022. - 2025. gads, kā arī 2026. gads līdz piedāvājuma iesniegšanas brīdim), vai īsākā laika periodā, ir pieredze Iepirkuma priekšmetam līdzvērtīga līguma izpildē.</w:t>
      </w:r>
    </w:p>
    <w:p w14:paraId="1D8E1272">
      <w:pPr>
        <w:spacing w:after="0" w:line="360" w:lineRule="auto"/>
        <w:ind w:firstLine="142"/>
        <w:jc w:val="both"/>
        <w:rPr>
          <w:rFonts w:ascii="Times New Roman" w:hAnsi="Times New Roman" w:cs="Times New Roman"/>
          <w:color w:val="000000" w:themeColor="text1"/>
          <w:lang w:val="lv-LV"/>
          <w14:textFill>
            <w14:solidFill>
              <w14:schemeClr w14:val="tx1"/>
            </w14:solidFill>
          </w14:textFill>
        </w:rPr>
      </w:pPr>
      <w:r>
        <w:rPr>
          <w:rFonts w:ascii="Times New Roman" w:hAnsi="Times New Roman" w:cs="Times New Roman"/>
          <w:color w:val="000000" w:themeColor="text1"/>
          <w:lang w:val="lv-LV"/>
          <w14:textFill>
            <w14:solidFill>
              <w14:schemeClr w14:val="tx1"/>
            </w14:solidFill>
          </w14:textFill>
        </w:rPr>
        <w:t>5.1.3.  Pieredze iepirkuma priekšmetam līdzvērtīga līguma izpildē Nolikuma 5.1.2. apakšpunkta izpratnē tiek uzskatīta par atbilstošu, ja Pretendents atbilst Nolikuma 5.1.4. apakšpunktā noteiktajām prasībām.</w:t>
      </w:r>
    </w:p>
    <w:p w14:paraId="6E6650DD">
      <w:pPr>
        <w:spacing w:after="0" w:line="360" w:lineRule="auto"/>
        <w:ind w:firstLine="142"/>
        <w:jc w:val="both"/>
        <w:rPr>
          <w:rFonts w:ascii="Times New Roman" w:hAnsi="Times New Roman" w:cs="Times New Roman"/>
          <w:color w:val="000000" w:themeColor="text1"/>
          <w:lang w:val="lv-LV"/>
          <w14:textFill>
            <w14:solidFill>
              <w14:schemeClr w14:val="tx1"/>
            </w14:solidFill>
          </w14:textFill>
        </w:rPr>
      </w:pPr>
      <w:r>
        <w:rPr>
          <w:rFonts w:ascii="Times New Roman" w:hAnsi="Times New Roman" w:cs="Times New Roman"/>
          <w:color w:val="000000" w:themeColor="text1"/>
          <w:lang w:val="lv-LV"/>
          <w14:textFill>
            <w14:solidFill>
              <w14:schemeClr w14:val="tx1"/>
            </w14:solidFill>
          </w14:textFill>
        </w:rPr>
        <w:t>5.1.4. Pretendentam ir pieredze vismaz 1 (viena) energoefektivitātes paaugstināšanas projekta ieviešanas vadībā, kur projekta investīciju apjoms ir vismaz  2 000 000 EUR bez PVN, projekts realizēts 3.grupas ēkā un šis projekts ir līdzfinansēts no Eiropas Savienības struktūrfondu, Atveseļošanās fonda vai Kohēzijas fonda finansējuma. Projektam ir jābūt veiksmīgi pabeigtam (saņemts atbildīgās institūcijas apstiprinājums noslēguma pārskatam un saņemts gala maksājums).</w:t>
      </w:r>
    </w:p>
    <w:p w14:paraId="663929FD">
      <w:pPr>
        <w:spacing w:after="0" w:line="360" w:lineRule="auto"/>
        <w:ind w:firstLine="142"/>
        <w:jc w:val="both"/>
        <w:rPr>
          <w:rFonts w:ascii="Times New Roman" w:hAnsi="Times New Roman" w:cs="Times New Roman"/>
          <w:color w:val="000000" w:themeColor="text1"/>
          <w:lang w:val="lv-LV"/>
          <w14:textFill>
            <w14:solidFill>
              <w14:schemeClr w14:val="tx1"/>
            </w14:solidFill>
          </w14:textFill>
        </w:rPr>
      </w:pPr>
      <w:r>
        <w:rPr>
          <w:rFonts w:ascii="Times New Roman" w:hAnsi="Times New Roman" w:cs="Times New Roman"/>
          <w:color w:val="000000" w:themeColor="text1"/>
          <w:lang w:val="lv-LV"/>
          <w14:textFill>
            <w14:solidFill>
              <w14:schemeClr w14:val="tx1"/>
            </w14:solidFill>
          </w14:textFill>
        </w:rPr>
        <w:t xml:space="preserve">5.1.5.  Lai apliecinātu atbilstību Nolikuma 5.1.4. apakšpunktā noteiktajai pieredzes prasībai, Pretendents iesniedz apliecinājumu, kurā norāda pakalpojuma saņēmēju, pakalpojuma aprakstu, informāciju par īstenoto projektu, projekta investīciju apjomu, finansējuma avotu, ēkas grupu, projekta pabeigšanas statusu un pakalpojuma saņēmēja kontaktpersonas kontaktinformāciju. Informācija iesniedzama atbilstoši Nolikuma </w:t>
      </w:r>
      <w:r>
        <w:rPr>
          <w:rFonts w:ascii="Times New Roman" w:hAnsi="Times New Roman" w:cs="Times New Roman"/>
          <w:strike/>
          <w:color w:val="EE0000"/>
          <w:lang w:val="lv-LV"/>
        </w:rPr>
        <w:t>3.</w:t>
      </w:r>
      <w:r>
        <w:rPr>
          <w:rFonts w:ascii="Times New Roman" w:hAnsi="Times New Roman" w:cs="Times New Roman"/>
          <w:color w:val="000000" w:themeColor="text1"/>
          <w:lang w:val="lv-LV"/>
          <w14:textFill>
            <w14:solidFill>
              <w14:schemeClr w14:val="tx1"/>
            </w14:solidFill>
          </w14:textFill>
        </w:rPr>
        <w:t xml:space="preserve"> </w:t>
      </w:r>
      <w:r>
        <w:rPr>
          <w:rFonts w:ascii="Times New Roman" w:hAnsi="Times New Roman" w:cs="Times New Roman"/>
          <w:color w:val="EE0000"/>
          <w:lang w:val="lv-LV"/>
        </w:rPr>
        <w:t>4.</w:t>
      </w:r>
      <w:r>
        <w:rPr>
          <w:rFonts w:ascii="Times New Roman" w:hAnsi="Times New Roman" w:cs="Times New Roman"/>
          <w:color w:val="000000" w:themeColor="text1"/>
          <w:lang w:val="lv-LV"/>
          <w14:textFill>
            <w14:solidFill>
              <w14:schemeClr w14:val="tx1"/>
            </w14:solidFill>
          </w14:textFill>
        </w:rPr>
        <w:t xml:space="preserve"> pielikumā noteiktajai formai.</w:t>
      </w:r>
    </w:p>
    <w:p w14:paraId="3A0CCAEB">
      <w:pPr>
        <w:spacing w:after="0" w:line="360" w:lineRule="auto"/>
        <w:ind w:firstLine="142"/>
        <w:jc w:val="both"/>
        <w:rPr>
          <w:rFonts w:ascii="Times New Roman" w:hAnsi="Times New Roman" w:cs="Times New Roman"/>
          <w:color w:val="000000" w:themeColor="text1"/>
          <w:lang w:val="lv-LV"/>
          <w14:textFill>
            <w14:solidFill>
              <w14:schemeClr w14:val="tx1"/>
            </w14:solidFill>
          </w14:textFill>
        </w:rPr>
      </w:pPr>
      <w:r>
        <w:rPr>
          <w:rFonts w:ascii="Times New Roman" w:hAnsi="Times New Roman" w:cs="Times New Roman"/>
          <w:color w:val="000000" w:themeColor="text1"/>
          <w:lang w:val="lv-LV"/>
          <w14:textFill>
            <w14:solidFill>
              <w14:schemeClr w14:val="tx1"/>
            </w14:solidFill>
          </w14:textFill>
        </w:rPr>
        <w:t>5.1.6. Iepirkuma līguma izpildei Pretendents nodrošina vismaz projekta vadības speciālistu un energoefektivitātes speciālistu, kuri atbilst turpmāk noteiktajām kvalifikācijas un pieredzes prasībām.</w:t>
      </w:r>
    </w:p>
    <w:p w14:paraId="17D16474">
      <w:pPr>
        <w:spacing w:after="0" w:line="360" w:lineRule="auto"/>
        <w:ind w:firstLine="284"/>
        <w:jc w:val="both"/>
        <w:rPr>
          <w:rFonts w:ascii="Times New Roman" w:hAnsi="Times New Roman" w:cs="Times New Roman"/>
          <w:color w:val="000000" w:themeColor="text1"/>
          <w:lang w:val="lv-LV"/>
          <w14:textFill>
            <w14:solidFill>
              <w14:schemeClr w14:val="tx1"/>
            </w14:solidFill>
          </w14:textFill>
        </w:rPr>
      </w:pPr>
      <w:r>
        <w:rPr>
          <w:rFonts w:ascii="Times New Roman" w:hAnsi="Times New Roman" w:cs="Times New Roman"/>
          <w:color w:val="000000" w:themeColor="text1"/>
          <w:lang w:val="lv-LV"/>
          <w14:textFill>
            <w14:solidFill>
              <w14:schemeClr w14:val="tx1"/>
            </w14:solidFill>
          </w14:textFill>
        </w:rPr>
        <w:t>5.1.6.1. vismaz 1 (vienu) projekta vadības speciālistu ar vismaz otrā līmeņa profesionālo augstāko izglītību vai akadēmisko grādu projektu vadībā, ekonomikā, finansēs vai inženierzinātnēs un pieredzi vismaz viena Nolikuma 5.1.4. apakšpunktā noteiktajām prasībām atbilstoša projekta vadītāja pienākumu veikšanā;</w:t>
      </w:r>
    </w:p>
    <w:p w14:paraId="570769C4">
      <w:pPr>
        <w:spacing w:after="0" w:line="360" w:lineRule="auto"/>
        <w:ind w:firstLine="284"/>
        <w:jc w:val="both"/>
        <w:rPr>
          <w:rFonts w:ascii="Times New Roman" w:hAnsi="Times New Roman" w:cs="Times New Roman"/>
          <w:color w:val="000000" w:themeColor="text1"/>
          <w:lang w:val="lv-LV"/>
          <w14:textFill>
            <w14:solidFill>
              <w14:schemeClr w14:val="tx1"/>
            </w14:solidFill>
          </w14:textFill>
        </w:rPr>
      </w:pPr>
      <w:r>
        <w:rPr>
          <w:rFonts w:ascii="Times New Roman" w:hAnsi="Times New Roman" w:cs="Times New Roman"/>
          <w:color w:val="000000" w:themeColor="text1"/>
          <w:lang w:val="lv-LV"/>
          <w14:textFill>
            <w14:solidFill>
              <w14:schemeClr w14:val="tx1"/>
            </w14:solidFill>
          </w14:textFill>
        </w:rPr>
        <w:t>5.1.6.2. vismaz 1 (vienu) energoefektivitātes speciālistu ar vismaz otrā līmeņa profesionālo augstāko izglītību vai akadēmisko grādu inženierzinātnēs, kurš ir neatkarīgs eksperts ēku energoefektivitātes jomā un kuram ir pieredze vismaz viena Nolikuma 5.1.4. apakšpunktā noteiktajām prasībām atbilstoša projekta īstenošanā.</w:t>
      </w:r>
    </w:p>
    <w:p w14:paraId="527163D0">
      <w:pPr>
        <w:spacing w:after="0" w:line="360" w:lineRule="auto"/>
        <w:ind w:firstLine="284"/>
        <w:jc w:val="both"/>
        <w:rPr>
          <w:rFonts w:ascii="Times New Roman" w:hAnsi="Times New Roman" w:cs="Times New Roman"/>
          <w:color w:val="FFC000"/>
          <w:lang w:val="lv-LV"/>
        </w:rPr>
      </w:pPr>
      <w:r>
        <w:rPr>
          <w:rFonts w:ascii="Times New Roman" w:hAnsi="Times New Roman" w:cs="Times New Roman"/>
          <w:color w:val="EE0000"/>
          <w:lang w:val="lv-LV"/>
        </w:rPr>
        <w:t>5.1.6.3. vismaz 1 (vienu) būvniecības projektu vadības speciālistu vai tehnisko ekspertu atbilstoši T</w:t>
      </w:r>
      <w:r>
        <w:rPr>
          <w:rFonts w:ascii="Times New Roman" w:hAnsi="Times New Roman" w:cs="Times New Roman"/>
          <w:color w:val="FF0000"/>
          <w:lang w:val="lv-LV"/>
        </w:rPr>
        <w:t>ehniskās specifikācijas 5. punktā noteiktajām prasībām;</w:t>
      </w:r>
    </w:p>
    <w:p w14:paraId="2F8A3F65">
      <w:pPr>
        <w:spacing w:after="0" w:line="360" w:lineRule="auto"/>
        <w:ind w:firstLine="284"/>
        <w:jc w:val="both"/>
        <w:rPr>
          <w:rFonts w:hint="default" w:ascii="Times New Roman" w:hAnsi="Times New Roman" w:cs="Times New Roman"/>
          <w:color w:val="FFC000"/>
          <w:lang w:val="lv-LV"/>
        </w:rPr>
      </w:pPr>
      <w:r>
        <w:rPr>
          <w:rFonts w:hint="default" w:ascii="Times New Roman" w:hAnsi="Times New Roman" w:cs="Times New Roman"/>
          <w:color w:val="FFC000"/>
          <w:lang w:val="lv-LV"/>
        </w:rPr>
        <w:t xml:space="preserve">5.1.6.4. </w:t>
      </w:r>
      <w:r>
        <w:rPr>
          <w:rFonts w:hint="default" w:ascii="Times New Roman" w:hAnsi="Times New Roman"/>
          <w:color w:val="FFC000"/>
          <w:lang w:val="lv-LV"/>
        </w:rPr>
        <w:t>Viena persona vienlaikus drīkst pildīt vairākas Nolikuma 5.1.6.1., 5.1.6.2. un 5.1.6.3. apakšpunktā noteikto speciālistu funkcijas, ja šī persona atbilst katrai attiecīgajai funkcijai izvirzītajām kvalifikācijas un pieredzes prasībām. Šādā gadījumā visu triju noteikto funkciju nodrošināšanai drīkst piesaistīt kopumā ne mazāk kā 2 (divus) speciālistus.</w:t>
      </w:r>
    </w:p>
    <w:p w14:paraId="630EF3B5">
      <w:pPr>
        <w:spacing w:after="0" w:line="360" w:lineRule="auto"/>
        <w:ind w:firstLine="284"/>
        <w:jc w:val="both"/>
        <w:rPr>
          <w:rFonts w:ascii="Times New Roman" w:hAnsi="Times New Roman" w:cs="Times New Roman"/>
          <w:color w:val="FFC000"/>
          <w:lang w:val="lv-LV"/>
        </w:rPr>
      </w:pPr>
      <w:r>
        <w:rPr>
          <w:rFonts w:ascii="Times New Roman" w:hAnsi="Times New Roman" w:cs="Times New Roman"/>
          <w:color w:val="000000" w:themeColor="text1"/>
          <w:lang w:val="lv-LV"/>
          <w14:textFill>
            <w14:solidFill>
              <w14:schemeClr w14:val="tx1"/>
            </w14:solidFill>
          </w14:textFill>
        </w:rPr>
        <w:t xml:space="preserve">5.1.7. </w:t>
      </w:r>
      <w:r>
        <w:rPr>
          <w:rFonts w:ascii="Times New Roman" w:hAnsi="Times New Roman" w:cs="Times New Roman"/>
          <w:strike/>
          <w:dstrike w:val="0"/>
          <w:color w:val="FFC000"/>
          <w:vertAlign w:val="baseline"/>
          <w:lang w:val="lv-LV"/>
        </w:rPr>
        <w:t>Nolikuma 5.1.6.1. un 5.1.6.2. apakšpunktā noteikto prasību izpildei Pretendents ir tiesīgs piesaistīt speciālistus, kuri nav darba tiesiskajās attiecībās ar Pretendentu. Šādā gadījumā Pretendents piedāvājumā iesniedz attiecīgā speciālista parakstītu apl</w:t>
      </w:r>
      <w:bookmarkStart w:id="14" w:name="_GoBack"/>
      <w:bookmarkEnd w:id="14"/>
      <w:r>
        <w:rPr>
          <w:rFonts w:ascii="Times New Roman" w:hAnsi="Times New Roman" w:cs="Times New Roman"/>
          <w:strike/>
          <w:dstrike w:val="0"/>
          <w:color w:val="FFC000"/>
          <w:vertAlign w:val="baseline"/>
          <w:lang w:val="lv-LV"/>
        </w:rPr>
        <w:t>iecinājumu par gatavību piedalīties Iepirkuma līguma izpildē, ja Pretendentam tiks piešķirtas līguma slēgšanas tiesības</w:t>
      </w:r>
      <w:r>
        <w:rPr>
          <w:rFonts w:ascii="Times New Roman" w:hAnsi="Times New Roman" w:cs="Times New Roman"/>
          <w:color w:val="FFC000"/>
          <w:lang w:val="lv-LV"/>
        </w:rPr>
        <w:t>.</w:t>
      </w:r>
    </w:p>
    <w:p w14:paraId="731E83C9">
      <w:pPr>
        <w:spacing w:after="0" w:line="360" w:lineRule="auto"/>
        <w:ind w:left="0" w:leftChars="0" w:firstLine="960" w:firstLineChars="400"/>
        <w:jc w:val="both"/>
        <w:rPr>
          <w:rFonts w:ascii="Times New Roman" w:hAnsi="Times New Roman" w:cs="Times New Roman"/>
          <w:color w:val="FFC000"/>
          <w:lang w:val="lv-LV"/>
        </w:rPr>
      </w:pPr>
      <w:r>
        <w:rPr>
          <w:rFonts w:hint="default" w:ascii="Times New Roman" w:hAnsi="Times New Roman"/>
          <w:color w:val="FFC000"/>
          <w:lang w:val="lv-LV"/>
        </w:rPr>
        <w:t>Nolikuma 5.1.6.1. un 5.1.6.2. apakšpunktā noteikto prasību izpildei Pretendents ir tiesīgs piesaistīt speciālistus, kuri nav darba tiesiskajās attiecībās ar Pretendentu. Šādā gadījumā Pretendents piedāvājumā iesniedz attiecīgā speciālista parakstītu apliecinājumu par gatavību piedalīties Iepirkuma līguma izpildē. Nolikuma 5.1.6.3. apakšpunktā minētajam speciālistam ir jābūt darba tiesiskajās attiecībās ar Pretendentu.</w:t>
      </w:r>
    </w:p>
    <w:p w14:paraId="4FA85C17">
      <w:pPr>
        <w:spacing w:after="0" w:line="360" w:lineRule="auto"/>
        <w:ind w:firstLine="284"/>
        <w:jc w:val="both"/>
        <w:rPr>
          <w:rFonts w:ascii="Times New Roman" w:hAnsi="Times New Roman" w:cs="Times New Roman"/>
          <w:b/>
          <w:bCs/>
          <w:color w:val="000000" w:themeColor="text1"/>
          <w:lang w:val="lv-LV"/>
          <w14:textFill>
            <w14:solidFill>
              <w14:schemeClr w14:val="tx1"/>
            </w14:solidFill>
          </w14:textFill>
        </w:rPr>
      </w:pPr>
      <w:r>
        <w:rPr>
          <w:rFonts w:ascii="Times New Roman" w:hAnsi="Times New Roman" w:cs="Times New Roman"/>
          <w:color w:val="000000" w:themeColor="text1"/>
          <w:lang w:val="lv-LV"/>
          <w14:textFill>
            <w14:solidFill>
              <w14:schemeClr w14:val="tx1"/>
            </w14:solidFill>
          </w14:textFill>
        </w:rPr>
        <w:t xml:space="preserve">5.2. </w:t>
      </w:r>
      <w:r>
        <w:rPr>
          <w:rFonts w:ascii="Times New Roman" w:hAnsi="Times New Roman" w:cs="Times New Roman"/>
          <w:b/>
          <w:bCs/>
          <w:color w:val="000000" w:themeColor="text1"/>
          <w:lang w:val="lv-LV"/>
          <w14:textFill>
            <w14:solidFill>
              <w14:schemeClr w14:val="tx1"/>
            </w14:solidFill>
          </w14:textFill>
        </w:rPr>
        <w:t>Pretendenta iesniedzamie atlases dokumenti:</w:t>
      </w:r>
    </w:p>
    <w:p w14:paraId="08E1C96F">
      <w:pPr>
        <w:spacing w:after="0" w:line="360" w:lineRule="auto"/>
        <w:ind w:firstLine="142"/>
        <w:jc w:val="both"/>
        <w:rPr>
          <w:rFonts w:ascii="Times New Roman" w:hAnsi="Times New Roman" w:cs="Times New Roman"/>
          <w:color w:val="000000" w:themeColor="text1"/>
          <w:lang w:val="lv-LV"/>
          <w14:textFill>
            <w14:solidFill>
              <w14:schemeClr w14:val="tx1"/>
            </w14:solidFill>
          </w14:textFill>
        </w:rPr>
      </w:pPr>
      <w:r>
        <w:rPr>
          <w:rFonts w:ascii="Times New Roman" w:hAnsi="Times New Roman" w:cs="Times New Roman"/>
          <w:color w:val="000000" w:themeColor="text1"/>
          <w:lang w:val="lv-LV"/>
          <w14:textFill>
            <w14:solidFill>
              <w14:schemeClr w14:val="tx1"/>
            </w14:solidFill>
          </w14:textFill>
        </w:rPr>
        <w:t>5.2.1. Pretendenta pieteikums dalībai Iepirkumā noformēts Nolikuma 2. pielikuma formā, kuru parakstījusi Pretendenta amatpersona ar paraksta tiesībām vai Pretendenta pilnvarotā persona. Gadījumā, ja pieteikumu paraksta Pretendenta pilnvarotā persona, nepieciešams pievienot pilnvaru vai tās apliecinātu kopiju;</w:t>
      </w:r>
    </w:p>
    <w:p w14:paraId="58F94A17">
      <w:pPr>
        <w:spacing w:after="0" w:line="360" w:lineRule="auto"/>
        <w:ind w:firstLine="142"/>
        <w:jc w:val="both"/>
        <w:rPr>
          <w:rFonts w:ascii="Times New Roman" w:hAnsi="Times New Roman" w:cs="Times New Roman"/>
          <w:color w:val="000000" w:themeColor="text1"/>
          <w:lang w:val="lv-LV"/>
          <w14:textFill>
            <w14:solidFill>
              <w14:schemeClr w14:val="tx1"/>
            </w14:solidFill>
          </w14:textFill>
        </w:rPr>
      </w:pPr>
      <w:r>
        <w:rPr>
          <w:rFonts w:ascii="Times New Roman" w:hAnsi="Times New Roman" w:cs="Times New Roman"/>
          <w:color w:val="000000" w:themeColor="text1"/>
          <w:lang w:val="lv-LV"/>
          <w14:textFill>
            <w14:solidFill>
              <w14:schemeClr w14:val="tx1"/>
            </w14:solidFill>
          </w14:textFill>
        </w:rPr>
        <w:t>5.2.2. Lai apliecinātu atbilstību Nolikuma 5.1.1. apakšpunktā noteiktajai prasībai, ārvalstī reģistrēts Pretendents iesniedz attiecīgās valsts kompetentās institūcijas izsniegta dokumenta kopiju, kas apliecina Pretendenta reģistrāciju atbilstoši attiecīgās valsts normatīvo aktu prasībām. Ja piedāvājumu iesniedz piegādātāju apvienība, minēto dokumentu iesniedz par katru piegādātāju apvienības dalībnieku. Pasūtītājs nepieprasa informāciju, kuru tas var iegūt publiski pieejamās datubāzēs.</w:t>
      </w:r>
    </w:p>
    <w:p w14:paraId="6E9C38FB">
      <w:pPr>
        <w:spacing w:after="0" w:line="360" w:lineRule="auto"/>
        <w:ind w:firstLine="142"/>
        <w:jc w:val="both"/>
        <w:rPr>
          <w:rFonts w:ascii="Times New Roman" w:hAnsi="Times New Roman" w:cs="Times New Roman"/>
          <w:color w:val="000000" w:themeColor="text1"/>
          <w:lang w:val="lv-LV"/>
          <w14:textFill>
            <w14:solidFill>
              <w14:schemeClr w14:val="tx1"/>
            </w14:solidFill>
          </w14:textFill>
        </w:rPr>
      </w:pPr>
      <w:r>
        <w:rPr>
          <w:rFonts w:ascii="Times New Roman" w:hAnsi="Times New Roman" w:cs="Times New Roman"/>
          <w:color w:val="000000" w:themeColor="text1"/>
          <w:lang w:val="lv-LV"/>
          <w14:textFill>
            <w14:solidFill>
              <w14:schemeClr w14:val="tx1"/>
            </w14:solidFill>
          </w14:textFill>
        </w:rPr>
        <w:t xml:space="preserve">5.2.3. Pretendenta pieredzes apliecinājums noformēts Nolikuma </w:t>
      </w:r>
      <w:r>
        <w:rPr>
          <w:rFonts w:ascii="Times New Roman" w:hAnsi="Times New Roman" w:cs="Times New Roman"/>
          <w:strike/>
          <w:color w:val="EE0000"/>
          <w:lang w:val="lv-LV"/>
        </w:rPr>
        <w:t>3.</w:t>
      </w:r>
      <w:r>
        <w:rPr>
          <w:rFonts w:ascii="Times New Roman" w:hAnsi="Times New Roman" w:cs="Times New Roman"/>
          <w:color w:val="EE0000"/>
          <w:lang w:val="lv-LV"/>
        </w:rPr>
        <w:t xml:space="preserve"> 4.</w:t>
      </w:r>
      <w:r>
        <w:rPr>
          <w:rFonts w:ascii="Times New Roman" w:hAnsi="Times New Roman" w:cs="Times New Roman"/>
          <w:color w:val="000000" w:themeColor="text1"/>
          <w:lang w:val="lv-LV"/>
          <w14:textFill>
            <w14:solidFill>
              <w14:schemeClr w14:val="tx1"/>
            </w14:solidFill>
          </w14:textFill>
        </w:rPr>
        <w:t xml:space="preserve"> pielikuma formā, kuram pievienota vismaz viena atsauksme no Nolikuma </w:t>
      </w:r>
      <w:r>
        <w:rPr>
          <w:rFonts w:ascii="Times New Roman" w:hAnsi="Times New Roman" w:cs="Times New Roman"/>
          <w:strike/>
          <w:color w:val="EE0000"/>
          <w:lang w:val="lv-LV"/>
        </w:rPr>
        <w:t>3.</w:t>
      </w:r>
      <w:r>
        <w:rPr>
          <w:rFonts w:ascii="Times New Roman" w:hAnsi="Times New Roman" w:cs="Times New Roman"/>
          <w:color w:val="EE0000"/>
          <w:lang w:val="lv-LV"/>
        </w:rPr>
        <w:t xml:space="preserve"> 4.</w:t>
      </w:r>
      <w:r>
        <w:rPr>
          <w:rFonts w:ascii="Times New Roman" w:hAnsi="Times New Roman" w:cs="Times New Roman"/>
          <w:color w:val="000000" w:themeColor="text1"/>
          <w:lang w:val="lv-LV"/>
          <w14:textFill>
            <w14:solidFill>
              <w14:schemeClr w14:val="tx1"/>
            </w14:solidFill>
          </w14:textFill>
        </w:rPr>
        <w:t xml:space="preserve"> pielikuma formā norādītā pakalpojuma saņēmēja. Atsauksmē jābūt norādei, vai līgums tika izpildīts noteiktajā termiņā un kvalitatīvi. Attiecībā uz apliecinājumu par iepriekšējo pieredzi, kas apliecina Pretendenta atbilstību Nolikuma prasībām, Pretendentam katram no projektiem ir jānorāda pasūtītāja pārstāvja kontaktinformācija (telefona numurs un e-pasta adrese), ar kuru Pasūtītājs nepieciešamības gadījumā var sazināties, lai pārliecinātos par Pretendenta atbilstību konkursa Nolikuma prasībām. Ja Pretendents projektā ir bijis apakšuzņēmējs, papildus jānorāda virsuzņēmēja nosaukums, kā arī Pretendenta sniegtā pakalpojuma realizācijas apjoms EUR (bez pievienotās vērtības nodokļa (turpmāk – PVN)). Ja pretendents objektīvu iemeslu dēļ nevar iesniegt atsauksmi, pieredzi drīkst apliecināt ar citiem dokumentiem, piemēram, līguma kopiju, pieņemšanas–nodošanas aktu, noslēguma pārskatu vai citu dokumentu, no kura iespējams pārliecināties par prasītās pieredzes esamību;</w:t>
      </w:r>
    </w:p>
    <w:p w14:paraId="7A42F336">
      <w:pPr>
        <w:spacing w:after="0" w:line="360" w:lineRule="auto"/>
        <w:ind w:firstLine="142"/>
        <w:jc w:val="both"/>
        <w:rPr>
          <w:rFonts w:ascii="Times New Roman" w:hAnsi="Times New Roman" w:cs="Times New Roman"/>
          <w:color w:val="000000" w:themeColor="text1"/>
          <w:lang w:val="lv-LV"/>
          <w14:textFill>
            <w14:solidFill>
              <w14:schemeClr w14:val="tx1"/>
            </w14:solidFill>
          </w14:textFill>
        </w:rPr>
      </w:pPr>
      <w:r>
        <w:rPr>
          <w:rFonts w:ascii="Times New Roman" w:hAnsi="Times New Roman" w:cs="Times New Roman"/>
          <w:color w:val="000000" w:themeColor="text1"/>
          <w:lang w:val="lv-LV"/>
          <w14:textFill>
            <w14:solidFill>
              <w14:schemeClr w14:val="tx1"/>
            </w14:solidFill>
          </w14:textFill>
        </w:rPr>
        <w:t>5.2.4. Pretendenta piedāvāto speciālistu</w:t>
      </w:r>
      <w:r>
        <w:rPr>
          <w:rFonts w:ascii="Times New Roman" w:hAnsi="Times New Roman" w:cs="Times New Roman"/>
          <w:color w:val="EE0000"/>
          <w:lang w:val="lv-LV"/>
        </w:rPr>
        <w:t xml:space="preserve"> </w:t>
      </w:r>
      <w:r>
        <w:rPr>
          <w:rFonts w:ascii="Times New Roman" w:hAnsi="Times New Roman" w:cs="Times New Roman"/>
          <w:color w:val="000000" w:themeColor="text1"/>
          <w:lang w:val="lv-LV"/>
          <w14:textFill>
            <w14:solidFill>
              <w14:schemeClr w14:val="tx1"/>
            </w14:solidFill>
          </w14:textFill>
        </w:rPr>
        <w:t>dzīvesgājuma apraksts (CV) noformēts brīvā formā, kuram pievienotas izglītību un profesionālo kvalifikāciju apliecinošu dokumentu kopijas un kuru pašrocīgi parakstījis pakalpojuma izpildē iesaistītais speciālists;</w:t>
      </w:r>
    </w:p>
    <w:p w14:paraId="75794C89">
      <w:pPr>
        <w:spacing w:after="0" w:line="360" w:lineRule="auto"/>
        <w:ind w:firstLine="142"/>
        <w:jc w:val="both"/>
        <w:rPr>
          <w:rFonts w:ascii="Times New Roman" w:hAnsi="Times New Roman" w:cs="Times New Roman"/>
          <w:color w:val="000000" w:themeColor="text1"/>
          <w:lang w:val="lv-LV"/>
          <w14:textFill>
            <w14:solidFill>
              <w14:schemeClr w14:val="tx1"/>
            </w14:solidFill>
          </w14:textFill>
        </w:rPr>
      </w:pPr>
      <w:r>
        <w:rPr>
          <w:rFonts w:ascii="Times New Roman" w:hAnsi="Times New Roman" w:cs="Times New Roman"/>
          <w:color w:val="000000" w:themeColor="text1"/>
          <w:lang w:val="lv-LV"/>
          <w14:textFill>
            <w14:solidFill>
              <w14:schemeClr w14:val="tx1"/>
            </w14:solidFill>
          </w14:textFill>
        </w:rPr>
        <w:t xml:space="preserve">5.2.5. </w:t>
      </w:r>
      <w:r>
        <w:rPr>
          <w:rFonts w:ascii="Times New Roman" w:hAnsi="Times New Roman" w:cs="Times New Roman"/>
          <w:strike/>
          <w:color w:val="EE0000"/>
          <w:lang w:val="lv-LV"/>
        </w:rPr>
        <w:t>Pretendenta Tehniskais un finanšu piedāvājums noformēts atbilstoši Nolikuma 4. pielikuma formai un Nolikuma 5.pielikuma formai</w:t>
      </w:r>
      <w:r>
        <w:rPr>
          <w:rFonts w:ascii="Times New Roman" w:hAnsi="Times New Roman" w:cs="Times New Roman"/>
          <w:color w:val="EE0000"/>
          <w:lang w:val="lv-LV"/>
        </w:rPr>
        <w:t xml:space="preserve"> Pretendenta tehniskais piedāvājums iesniedzams atbilstoši Nolikuma un Tehniskās specifikācijas prasībām. Pretendentam nav nepieciešams atkārtoti iesniegt visu Tehniskās specifikācijas tekstu kā atsevišķi izstrādātu tehnisko piedāvājumu. Pretendents ir tiesīgs papildus iesniegt parakstītu apliecinājumu par Tehniskās specifikācijas prasību izpildi, ja šāds dokuments nerada izmaiņas Pasūtītāja noteiktajās prasībās un nesatur nosacījumus, kas ir pretrunā Nolikumam. Finanšu piedāvājums noformējams atbilstoši Nolikuma 7. pielikuma “Finanšu piedāvājums” formai</w:t>
      </w:r>
      <w:r>
        <w:rPr>
          <w:rFonts w:ascii="Times New Roman" w:hAnsi="Times New Roman" w:cs="Times New Roman"/>
          <w:color w:val="000000" w:themeColor="text1"/>
          <w:lang w:val="lv-LV"/>
          <w14:textFill>
            <w14:solidFill>
              <w14:schemeClr w14:val="tx1"/>
            </w14:solidFill>
          </w14:textFill>
        </w:rPr>
        <w:t>;</w:t>
      </w:r>
    </w:p>
    <w:p w14:paraId="497A0F97">
      <w:pPr>
        <w:spacing w:after="0" w:line="360" w:lineRule="auto"/>
        <w:jc w:val="both"/>
        <w:rPr>
          <w:rFonts w:ascii="Times New Roman" w:hAnsi="Times New Roman" w:cs="Times New Roman"/>
          <w:color w:val="000000" w:themeColor="text1"/>
          <w:lang w:val="lv-LV"/>
          <w14:textFill>
            <w14:solidFill>
              <w14:schemeClr w14:val="tx1"/>
            </w14:solidFill>
          </w14:textFill>
        </w:rPr>
      </w:pPr>
      <w:r>
        <w:rPr>
          <w:rFonts w:ascii="Times New Roman" w:hAnsi="Times New Roman" w:cs="Times New Roman"/>
          <w:color w:val="000000" w:themeColor="text1"/>
          <w:lang w:val="lv-LV"/>
          <w14:textFill>
            <w14:solidFill>
              <w14:schemeClr w14:val="tx1"/>
            </w14:solidFill>
          </w14:textFill>
        </w:rPr>
        <w:t>5.3. Pretendents savā piedāvājumā norāda tās līguma daļas, kuras nodos izpildei apakšuzņēmējiem, kā arī visus paredzamos apakšuzņēmējus, kuru sniedzamo pakalpojumu vērtība ir vismaz 10 000 euro no kopējās Iepirkuma līguma vērtības vai lielāka.</w:t>
      </w:r>
    </w:p>
    <w:p w14:paraId="6AB4FC61">
      <w:pPr>
        <w:spacing w:after="0" w:line="360" w:lineRule="auto"/>
        <w:jc w:val="both"/>
        <w:rPr>
          <w:rFonts w:ascii="Times New Roman" w:hAnsi="Times New Roman" w:cs="Times New Roman"/>
          <w:color w:val="000000" w:themeColor="text1"/>
          <w:lang w:val="lv-LV"/>
          <w14:textFill>
            <w14:solidFill>
              <w14:schemeClr w14:val="tx1"/>
            </w14:solidFill>
          </w14:textFill>
        </w:rPr>
      </w:pPr>
    </w:p>
    <w:p w14:paraId="3C42FDFD">
      <w:pPr>
        <w:pStyle w:val="2"/>
        <w:numPr>
          <w:ilvl w:val="0"/>
          <w:numId w:val="1"/>
        </w:numPr>
        <w:spacing w:before="0" w:after="0"/>
        <w:jc w:val="center"/>
        <w:rPr>
          <w:rFonts w:ascii="Times New Roman" w:hAnsi="Times New Roman" w:cs="Times New Roman"/>
          <w:b/>
          <w:bCs/>
          <w:color w:val="000000" w:themeColor="text1"/>
          <w:sz w:val="28"/>
          <w:szCs w:val="28"/>
          <w:lang w:val="lv-LV"/>
          <w14:textFill>
            <w14:solidFill>
              <w14:schemeClr w14:val="tx1"/>
            </w14:solidFill>
          </w14:textFill>
        </w:rPr>
      </w:pPr>
      <w:bookmarkStart w:id="5" w:name="_Toc235703252"/>
      <w:r>
        <w:rPr>
          <w:rFonts w:ascii="Times New Roman" w:hAnsi="Times New Roman" w:cs="Times New Roman"/>
          <w:b/>
          <w:bCs/>
          <w:color w:val="000000" w:themeColor="text1"/>
          <w:sz w:val="28"/>
          <w:szCs w:val="28"/>
          <w:lang w:val="lv-LV"/>
          <w14:textFill>
            <w14:solidFill>
              <w14:schemeClr w14:val="tx1"/>
            </w14:solidFill>
          </w14:textFill>
        </w:rPr>
        <w:t>Pretendenta izslēgšanas nosacījumi</w:t>
      </w:r>
      <w:bookmarkEnd w:id="5"/>
    </w:p>
    <w:p w14:paraId="7116AA33">
      <w:pPr>
        <w:spacing w:after="0"/>
        <w:rPr>
          <w:lang w:val="lv-LV"/>
        </w:rPr>
      </w:pPr>
    </w:p>
    <w:p w14:paraId="0D8C57D3">
      <w:pPr>
        <w:spacing w:after="0" w:line="360" w:lineRule="auto"/>
        <w:jc w:val="both"/>
        <w:rPr>
          <w:rFonts w:ascii="Times New Roman" w:hAnsi="Times New Roman" w:cs="Times New Roman"/>
          <w:lang w:val="lv-LV"/>
        </w:rPr>
      </w:pPr>
      <w:r>
        <w:rPr>
          <w:rFonts w:ascii="Times New Roman" w:hAnsi="Times New Roman" w:cs="Times New Roman"/>
          <w:lang w:val="lv-LV"/>
        </w:rPr>
        <w:t>6.1.Pasūtītājs izslēdz Pretendentu no turpmākās dalības iepirkuma procedūrā, ja uz Pretendentu attiecas Publisko iepirkumu likuma 42. panta otrās daļas 1., 2., 3., 4., 5., 6., 7., 10., 11., 12., 13. vai 14. punktā noteiktais izslēgšanas iemesls.</w:t>
      </w:r>
    </w:p>
    <w:p w14:paraId="5C11DF57">
      <w:pPr>
        <w:spacing w:after="0" w:line="360" w:lineRule="auto"/>
        <w:jc w:val="both"/>
        <w:rPr>
          <w:rFonts w:ascii="Times New Roman" w:hAnsi="Times New Roman" w:cs="Times New Roman"/>
          <w:lang w:val="lv-LV"/>
        </w:rPr>
      </w:pPr>
      <w:r>
        <w:rPr>
          <w:rFonts w:ascii="Times New Roman" w:hAnsi="Times New Roman" w:cs="Times New Roman"/>
          <w:lang w:val="lv-LV"/>
        </w:rPr>
        <w:t>6.2. Publisko iepirkumu likuma 42. panta otrajā daļā noteiktos izslēgšanas iemeslus Pasūtītājs atbilstoši Publisko iepirkumu likuma 42. panta trešajai daļai attiecina arī uz:</w:t>
      </w:r>
    </w:p>
    <w:p w14:paraId="34B1F475">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6.2.1. personālsabiedrības biedru, ja Pretendents ir personālsabiedrība;</w:t>
      </w:r>
    </w:p>
    <w:p w14:paraId="29FBFCE7">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6.2.2. Pretendenta norādīto personu, uz kuras iespējām Pretendents balstās, lai apliecinātu savas kvalifikācijas atbilstību paziņojumā par līgumu vai iepirkuma procedūras dokumentos noteiktajām prasībām;</w:t>
      </w:r>
    </w:p>
    <w:p w14:paraId="4321FFF0">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6.2.3. Pretendenta norādīto apakšuzņēmēju, kura sniedzamo pakalpojumu vērtība ir vismaz 10 000 EUR;</w:t>
      </w:r>
    </w:p>
    <w:p w14:paraId="0A6461BF">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6.2.4. personām, kurām Pretendentā ir izšķiroša ietekme uz līdzdalības pamata normatīvo aktu par koncerniem izpratnē, Publisko iepirkumu likuma 42. panta trešajā daļā noteiktajā apjomā;</w:t>
      </w:r>
    </w:p>
    <w:p w14:paraId="4806A1C5">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6.2.5. Pretendenta patieso labuma guvēju Publisko iepirkumu likuma 42. panta trešajā daļā noteiktajā apjomā.</w:t>
      </w:r>
    </w:p>
    <w:p w14:paraId="4178E40C">
      <w:pPr>
        <w:spacing w:after="0" w:line="360" w:lineRule="auto"/>
        <w:jc w:val="both"/>
        <w:rPr>
          <w:rFonts w:ascii="Times New Roman" w:hAnsi="Times New Roman" w:cs="Times New Roman"/>
          <w:lang w:val="lv-LV"/>
        </w:rPr>
      </w:pPr>
      <w:r>
        <w:rPr>
          <w:rFonts w:ascii="Times New Roman" w:hAnsi="Times New Roman" w:cs="Times New Roman"/>
          <w:lang w:val="lv-LV"/>
        </w:rPr>
        <w:t>6.3. Atklātā konkursā Pasūtītājs pārbaudi par Publisko iepirkumu likuma 42. panta otrajā daļā noteiktajiem izslēgšanas iemesliem veic attiecībā uz Pretendentu, kuram atbilstoši citām paziņojumā par līgumu un iepirkuma procedūras dokumentos noteiktajām prasībām un izraudzītajiem piedāvājuma izvērtēšanas kritērijiem būtu piešķiramas Iepirkuma līguma slēgšanas tiesības.</w:t>
      </w:r>
    </w:p>
    <w:p w14:paraId="55D18643">
      <w:pPr>
        <w:spacing w:after="0" w:line="360" w:lineRule="auto"/>
        <w:jc w:val="both"/>
        <w:rPr>
          <w:rFonts w:ascii="Times New Roman" w:hAnsi="Times New Roman" w:cs="Times New Roman"/>
          <w:lang w:val="lv-LV"/>
        </w:rPr>
      </w:pPr>
      <w:r>
        <w:rPr>
          <w:rFonts w:ascii="Times New Roman" w:hAnsi="Times New Roman" w:cs="Times New Roman"/>
          <w:lang w:val="lv-LV"/>
        </w:rPr>
        <w:t>6.4. Ja Pretendents, kuram pirms šķietami būtu piešķiramas Iepirkuma līguma slēgšanas tiesības, tiek izslēgts no dalības iepirkuma procedūrā, Pasūtītājs veic Publisko iepirkumu likuma 42. pantā noteikto pārbaudi attiecībā uz nākamo Pretendentu, kura piedāvājums atbilstoši Nolikuma 8.6. punktā noteiktajai vērtēšanas kārtībai ir ieguvis nākamo augstāko kopējo punktu skaitu.</w:t>
      </w:r>
    </w:p>
    <w:p w14:paraId="62189360">
      <w:pPr>
        <w:spacing w:after="0" w:line="360" w:lineRule="auto"/>
        <w:jc w:val="both"/>
        <w:rPr>
          <w:rFonts w:ascii="Times New Roman" w:hAnsi="Times New Roman" w:cs="Times New Roman"/>
          <w:lang w:val="lv-LV"/>
        </w:rPr>
      </w:pPr>
      <w:r>
        <w:rPr>
          <w:rFonts w:ascii="Times New Roman" w:hAnsi="Times New Roman" w:cs="Times New Roman"/>
          <w:lang w:val="lv-LV"/>
        </w:rPr>
        <w:t>6.5. Informāciju par Latvijā reģistrētu vai pastāvīgi dzīvojošu Pretendentu un citām pārbaudāmajām personām Pasūtītājs iegūst Publisko iepirkumu likumā noteiktajā kārtībā, izmantojot Ministru kabineta noteikto informācijas sistēmu un publiski pieejamās datubāzes.</w:t>
      </w:r>
    </w:p>
    <w:p w14:paraId="63DABE50">
      <w:pPr>
        <w:spacing w:after="0" w:line="360" w:lineRule="auto"/>
        <w:jc w:val="both"/>
        <w:rPr>
          <w:rFonts w:ascii="Times New Roman" w:hAnsi="Times New Roman" w:cs="Times New Roman"/>
          <w:lang w:val="lv-LV"/>
        </w:rPr>
      </w:pPr>
      <w:r>
        <w:rPr>
          <w:rFonts w:ascii="Times New Roman" w:hAnsi="Times New Roman" w:cs="Times New Roman"/>
          <w:lang w:val="lv-LV"/>
        </w:rPr>
        <w:t>6.6. Ja Pasūtītājs konstatē, ka Ministru kabineta noteiktajā informācijas sistēmā pieejamā informācija liecina par Pretendenta vai citas Publisko iepirkumu likuma 42. panta trešajā daļā minētās personas neizpildītām saistībām nodokļu jomā, Pasūtītājs nosaka termiņu — trīs darbdienas pēc informācijas pieprasījuma nosūtīšanas dienas — pierādījumu iesniegšanai par to, ka attiecīgajai personai piedāvājumu iesniegšanas termiņa pēdējā dienā vai dienā, kad tiek pieņemts lēmums par iespējamu Iepirkuma līguma slēgšanas tiesību piešķiršanu, nebija neizpildītu saistību nodokļu jomā.</w:t>
      </w:r>
    </w:p>
    <w:p w14:paraId="59C3E73E">
      <w:pPr>
        <w:spacing w:after="0" w:line="360" w:lineRule="auto"/>
        <w:jc w:val="both"/>
        <w:rPr>
          <w:rFonts w:ascii="Times New Roman" w:hAnsi="Times New Roman" w:cs="Times New Roman"/>
          <w:lang w:val="lv-LV"/>
        </w:rPr>
      </w:pPr>
      <w:r>
        <w:rPr>
          <w:rFonts w:ascii="Times New Roman" w:hAnsi="Times New Roman" w:cs="Times New Roman"/>
          <w:lang w:val="lv-LV"/>
        </w:rPr>
        <w:t>6.7. Ja Pretendents vai cita pārbaudāmā persona ir reģistrēta vai pastāvīgi dzīvo ārvalstī, Pretendents pēc Pasūtītāja pieprasījuma Pasūtītāja noteiktajā termiņā, kas nav īsāks par 10 darbdienām pēc pieprasījuma nosūtīšanas dienas, iesniedz attiecīgās ārvalsts kompetentās institūcijas izziņu vai citu dokumentu, kas apliecina, ka uz attiecīgo personu neattiecas Publisko iepirkumu likuma 42. pantā noteiktie izslēgšanas iemesli.</w:t>
      </w:r>
    </w:p>
    <w:p w14:paraId="4B8B09BE">
      <w:pPr>
        <w:spacing w:after="0" w:line="360" w:lineRule="auto"/>
        <w:jc w:val="both"/>
        <w:rPr>
          <w:rFonts w:ascii="Times New Roman" w:hAnsi="Times New Roman" w:cs="Times New Roman"/>
          <w:lang w:val="lv-LV"/>
        </w:rPr>
      </w:pPr>
      <w:r>
        <w:rPr>
          <w:rFonts w:ascii="Times New Roman" w:hAnsi="Times New Roman" w:cs="Times New Roman"/>
          <w:lang w:val="lv-LV"/>
        </w:rPr>
        <w:t>6.8. Ja attiecīgajā ārvalstī 6.7. punktā minētās izziņas vai dokumenti netiek izsniegti vai ar tiem nepietiek, lai apliecinātu izslēgšanas iemeslu neesamību, tos var aizstāt ar zvērestu vai, ja attiecīgās valsts normatīvie akti neparedz zvēresta došanu, ar attiecīgās personas apliecinājumu kompetentai izpildvaras vai tiesu varas iestādei, zvērinātam notāram vai kompetentai attiecīgās nozares organizācijai personas reģistrācijas vai pastāvīgās dzīvesvietas valstī atbilstoši Publisko iepirkumu likuma 42. panta prasībām.</w:t>
      </w:r>
    </w:p>
    <w:p w14:paraId="30019E28">
      <w:pPr>
        <w:spacing w:after="0" w:line="360" w:lineRule="auto"/>
        <w:jc w:val="both"/>
        <w:rPr>
          <w:rFonts w:ascii="Times New Roman" w:hAnsi="Times New Roman" w:cs="Times New Roman"/>
          <w:lang w:val="lv-LV"/>
        </w:rPr>
      </w:pPr>
      <w:r>
        <w:rPr>
          <w:rFonts w:ascii="Times New Roman" w:hAnsi="Times New Roman" w:cs="Times New Roman"/>
          <w:lang w:val="lv-LV"/>
        </w:rPr>
        <w:t>6.9. Ja Pasūtītājs konstatē, ka Pretendents būtu izslēdzams no dalības iepirkuma procedūrā, Pasūtītājs Publisko iepirkumu likuma 43. pantā paredzētajos gadījumos dod Pretendentam tiesības termiņā, kas ir vismaz 10 dienas pēc informācijas pieprasījuma nosūtīšanas dienas, iesniegt skaidrojumu un pierādījumus, kas apliecina Pretendenta uzticamības atjaunošanu.</w:t>
      </w:r>
    </w:p>
    <w:p w14:paraId="491D4018">
      <w:pPr>
        <w:spacing w:after="0" w:line="360" w:lineRule="auto"/>
        <w:jc w:val="both"/>
        <w:rPr>
          <w:rFonts w:ascii="Times New Roman" w:hAnsi="Times New Roman" w:cs="Times New Roman"/>
          <w:lang w:val="lv-LV"/>
        </w:rPr>
      </w:pPr>
      <w:r>
        <w:rPr>
          <w:rFonts w:ascii="Times New Roman" w:hAnsi="Times New Roman" w:cs="Times New Roman"/>
          <w:lang w:val="lv-LV"/>
        </w:rPr>
        <w:t>6.10. Ja izslēgšanas iemesls attiecas uz Pretendenta norādīto personu, uz kuras iespējām Pretendents balstās, vai uz Pretendenta norādīto apakšuzņēmēju, Pretendents Publisko iepirkumu likuma 43. pantā noteiktajā kārtībā nomaina attiecīgo personu pret personu, kura atbilst Nolikuma prasībām un uz kuru neattiecas Publisko iepirkumu likuma 42. pantā noteiktie izslēgšanas iemesli.</w:t>
      </w:r>
    </w:p>
    <w:p w14:paraId="0230B137">
      <w:pPr>
        <w:spacing w:after="0" w:line="360" w:lineRule="auto"/>
        <w:jc w:val="both"/>
        <w:rPr>
          <w:rFonts w:ascii="Times New Roman" w:hAnsi="Times New Roman" w:cs="Times New Roman"/>
          <w:lang w:val="lv-LV"/>
        </w:rPr>
      </w:pPr>
      <w:r>
        <w:rPr>
          <w:rFonts w:ascii="Times New Roman" w:hAnsi="Times New Roman" w:cs="Times New Roman"/>
          <w:lang w:val="lv-LV"/>
        </w:rPr>
        <w:t>6.11. Ja Pretendents noteiktajā termiņā neiesniedz pieprasītos dokumentus vai Pasūtītājs iesniegtos skaidrojumus un pierādījumus neatzīst par pietiekamiem uzticamības atjaunošanai, vai Pretendents neveic 6.10. punktā minētās personas nomaiņu, Pasūtītājs izslēdz Pretendentu no turpmākās dalības iepirkuma procedūrā.</w:t>
      </w:r>
    </w:p>
    <w:p w14:paraId="210B2BF3">
      <w:pPr>
        <w:spacing w:after="0" w:line="360" w:lineRule="auto"/>
        <w:jc w:val="both"/>
        <w:rPr>
          <w:rFonts w:ascii="Times New Roman" w:hAnsi="Times New Roman" w:cs="Times New Roman"/>
          <w:lang w:val="lv-LV"/>
        </w:rPr>
      </w:pPr>
      <w:r>
        <w:rPr>
          <w:rFonts w:ascii="Times New Roman" w:hAnsi="Times New Roman" w:cs="Times New Roman"/>
          <w:lang w:val="lv-LV"/>
        </w:rPr>
        <w:t>6.12. Pasūtītājs neizslēdz Pretendentu, ja ir piemērojams kāds no Publisko iepirkumu likuma 42. panta ceturtajā daļā noteiktajiem izņēmumiem.</w:t>
      </w:r>
    </w:p>
    <w:p w14:paraId="44A1E01F">
      <w:pPr>
        <w:spacing w:after="0" w:line="360" w:lineRule="auto"/>
        <w:jc w:val="both"/>
        <w:rPr>
          <w:rFonts w:ascii="Times New Roman" w:hAnsi="Times New Roman" w:cs="Times New Roman"/>
          <w:lang w:val="lv-LV"/>
        </w:rPr>
      </w:pPr>
      <w:r>
        <w:rPr>
          <w:rFonts w:ascii="Times New Roman" w:hAnsi="Times New Roman" w:cs="Times New Roman"/>
          <w:lang w:val="lv-LV"/>
        </w:rPr>
        <w:t>6.13. Pirms lēmuma pieņemšanas par Iepirkuma līguma slēgšanas tiesību piešķiršanu Pasūtītājs veic pārbaudi saskaņā ar Starptautisko un Latvijas Republikas nacionālo sankciju likuma 11.1 pantu. Ja tiek konstatēts, ka noteiktās starptautiskās vai nacionālās sankcijas kavē Iepirkuma līguma noslēgšanu vai izpildi, Pasūtītājs nepiešķir attiecīgajam Pretendentam Iepirkuma līguma slēgšanas tiesības.</w:t>
      </w:r>
    </w:p>
    <w:p w14:paraId="111FE3C0">
      <w:pPr>
        <w:pStyle w:val="2"/>
        <w:numPr>
          <w:ilvl w:val="0"/>
          <w:numId w:val="1"/>
        </w:numPr>
        <w:spacing w:before="0" w:after="0"/>
        <w:jc w:val="center"/>
        <w:rPr>
          <w:rFonts w:ascii="Times New Roman" w:hAnsi="Times New Roman" w:cs="Times New Roman"/>
          <w:b/>
          <w:bCs/>
          <w:color w:val="000000" w:themeColor="text1"/>
          <w:sz w:val="28"/>
          <w:szCs w:val="28"/>
          <w:lang w:val="lv-LV"/>
          <w14:textFill>
            <w14:solidFill>
              <w14:schemeClr w14:val="tx1"/>
            </w14:solidFill>
          </w14:textFill>
        </w:rPr>
      </w:pPr>
      <w:bookmarkStart w:id="6" w:name="_Toc235703253"/>
      <w:r>
        <w:rPr>
          <w:rFonts w:ascii="Times New Roman" w:hAnsi="Times New Roman" w:cs="Times New Roman"/>
          <w:b/>
          <w:bCs/>
          <w:color w:val="000000" w:themeColor="text1"/>
          <w:sz w:val="28"/>
          <w:szCs w:val="28"/>
          <w:lang w:val="lv-LV"/>
          <w14:textFill>
            <w14:solidFill>
              <w14:schemeClr w14:val="tx1"/>
            </w14:solidFill>
          </w14:textFill>
        </w:rPr>
        <w:t>Eiropas vienotais iepirkuma procedūras dokuments</w:t>
      </w:r>
      <w:bookmarkEnd w:id="6"/>
    </w:p>
    <w:p w14:paraId="0F70F21A">
      <w:pPr>
        <w:spacing w:after="0"/>
        <w:jc w:val="both"/>
        <w:rPr>
          <w:rFonts w:ascii="Times New Roman" w:hAnsi="Times New Roman" w:cs="Times New Roman"/>
          <w:lang w:val="lv-LV"/>
        </w:rPr>
      </w:pPr>
    </w:p>
    <w:p w14:paraId="7B048F81">
      <w:pPr>
        <w:spacing w:after="0" w:line="360" w:lineRule="auto"/>
        <w:jc w:val="both"/>
        <w:rPr>
          <w:rFonts w:ascii="Times New Roman" w:hAnsi="Times New Roman" w:cs="Times New Roman"/>
          <w:lang w:val="lv-LV"/>
        </w:rPr>
      </w:pPr>
      <w:r>
        <w:rPr>
          <w:rFonts w:ascii="Times New Roman" w:hAnsi="Times New Roman" w:cs="Times New Roman"/>
          <w:lang w:val="lv-LV"/>
        </w:rPr>
        <w:t>7.1. Pretendentam saskaņā ar PIL 49. pantu ir tiesības iesniegt Eiropas vienoto iepirkuma procedūras dokumentu (ESPD) (Eiropas Komisijas 2016. gada 5.janvāra ieviešanas regula Nr. 2016/7).</w:t>
      </w:r>
    </w:p>
    <w:p w14:paraId="790253AD">
      <w:pPr>
        <w:spacing w:after="0" w:line="360" w:lineRule="auto"/>
        <w:jc w:val="both"/>
        <w:rPr>
          <w:rFonts w:ascii="Times New Roman" w:hAnsi="Times New Roman" w:cs="Times New Roman"/>
          <w:lang w:val="lv-LV"/>
        </w:rPr>
      </w:pPr>
      <w:r>
        <w:rPr>
          <w:rFonts w:ascii="Times New Roman" w:hAnsi="Times New Roman" w:cs="Times New Roman"/>
          <w:lang w:val="lv-LV"/>
        </w:rPr>
        <w:t xml:space="preserve">7.2. Pretendents var iesniegt aizpildītu Regulas Nr. 2016/7 otrajā pielikumā iekļauto formu kā sākotnējo pierādījumu atbilstībai paziņojumā par līgumu un iepirkuma procedūras dokumentos noteiktajām Pretendentu atlases prasībām (Nolikuma 5.punkts). Ja Pretendents ir izvēlējies iesniegt ESPD, lai apliecinātu, ka tas atbilst Nolikumā noteiktajām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 sniedzamo pakalpojumu vērtība ir vismaz 10 000,00 EUR. Piegādātāju apvienība iesniedz atsevišķu ESPD par katru tās dalībnieku. </w:t>
      </w:r>
    </w:p>
    <w:p w14:paraId="695111F3">
      <w:pPr>
        <w:spacing w:after="0" w:line="360" w:lineRule="auto"/>
        <w:jc w:val="both"/>
        <w:rPr>
          <w:rFonts w:ascii="Times New Roman" w:hAnsi="Times New Roman" w:cs="Times New Roman"/>
          <w:lang w:val="lv-LV"/>
        </w:rPr>
      </w:pPr>
      <w:r>
        <w:rPr>
          <w:rFonts w:ascii="Times New Roman" w:hAnsi="Times New Roman" w:cs="Times New Roman"/>
          <w:lang w:val="lv-LV"/>
        </w:rPr>
        <w:t>7.3. Sagatavojot ESPD veidlapu izmanto EIS tīmekļa vietnē izveidoto rīku  http://espd.eis.gov.lv/</w:t>
      </w:r>
    </w:p>
    <w:p w14:paraId="662A8C17">
      <w:pPr>
        <w:spacing w:after="0" w:line="360" w:lineRule="auto"/>
        <w:jc w:val="both"/>
        <w:rPr>
          <w:rFonts w:ascii="Times New Roman" w:hAnsi="Times New Roman" w:cs="Times New Roman"/>
          <w:lang w:val="lv-LV"/>
        </w:rPr>
      </w:pPr>
      <w:r>
        <w:rPr>
          <w:rFonts w:ascii="Times New Roman" w:hAnsi="Times New Roman" w:cs="Times New Roman"/>
          <w:lang w:val="lv-LV"/>
        </w:rPr>
        <w:t>7.4. Ja Pretendents izvēlas iesniegt ESPD kā sākotnējo pierādījumu atbilstībai iepirkuma procedūras dokumentos noteiktajām Pretendentu atlases prasībām un pārbaudāmām ziņām, tas aizpilda standarta veidlapas:</w:t>
      </w:r>
    </w:p>
    <w:p w14:paraId="094D2F04">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 xml:space="preserve">7.4.1. II daļu – Informāciju par ekonomikas dalībnieku A, B, C daļas; </w:t>
      </w:r>
    </w:p>
    <w:p w14:paraId="71116C11">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7.4.2. III daļu – Izslēgšanas iemesli A, B, C, D sadaļā Pretendentam jānorāda informācija par izslēgšanas noteikumiem saskaņā ar Starptautisko un Latvijas Republikas nacionālo sankciju likuma 11¹.panta pirmo un otro daļu un PIL 42. panta noteikumiem;</w:t>
      </w:r>
    </w:p>
    <w:p w14:paraId="446BAA2F">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7.4.3. IV daļu – atlases kritēriji A, B, C;</w:t>
      </w:r>
    </w:p>
    <w:p w14:paraId="716C9707">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7.4.4. VI daļu – Noslēguma apliecinājumi.</w:t>
      </w:r>
    </w:p>
    <w:p w14:paraId="6DEACC18">
      <w:pPr>
        <w:spacing w:after="0" w:line="360" w:lineRule="auto"/>
        <w:jc w:val="both"/>
        <w:rPr>
          <w:rFonts w:ascii="Times New Roman" w:hAnsi="Times New Roman" w:cs="Times New Roman"/>
          <w:lang w:val="lv-LV"/>
        </w:rPr>
      </w:pPr>
      <w:r>
        <w:rPr>
          <w:rFonts w:ascii="Times New Roman" w:hAnsi="Times New Roman" w:cs="Times New Roman"/>
          <w:lang w:val="lv-LV"/>
        </w:rPr>
        <w:t>7.5. Pretendents, kurš piedāvājumā ir iekļāvis ESPD, pēc Komisijas uzaicinājuma iesniedz Nolikuma 5.punktā minētos piedāvājumā iekļaujamos dokumentus, kuri tiek pieprasīti gadījumā, ja Pretendentam būtu piešķiramas līguma slēgšanas tiesības.</w:t>
      </w:r>
    </w:p>
    <w:p w14:paraId="63A4ABEE">
      <w:pPr>
        <w:spacing w:after="0" w:line="360" w:lineRule="auto"/>
        <w:jc w:val="both"/>
        <w:rPr>
          <w:rFonts w:ascii="Times New Roman" w:hAnsi="Times New Roman" w:cs="Times New Roman"/>
          <w:lang w:val="lv-LV"/>
        </w:rPr>
      </w:pPr>
    </w:p>
    <w:p w14:paraId="3F64A300">
      <w:pPr>
        <w:pStyle w:val="2"/>
        <w:numPr>
          <w:ilvl w:val="0"/>
          <w:numId w:val="1"/>
        </w:numPr>
        <w:spacing w:before="0" w:after="0"/>
        <w:jc w:val="center"/>
        <w:rPr>
          <w:rFonts w:ascii="Times New Roman" w:hAnsi="Times New Roman" w:cs="Times New Roman"/>
          <w:b/>
          <w:bCs/>
          <w:color w:val="000000" w:themeColor="text1"/>
          <w:sz w:val="28"/>
          <w:szCs w:val="28"/>
          <w:lang w:val="lv-LV"/>
          <w14:textFill>
            <w14:solidFill>
              <w14:schemeClr w14:val="tx1"/>
            </w14:solidFill>
          </w14:textFill>
        </w:rPr>
      </w:pPr>
      <w:bookmarkStart w:id="7" w:name="_Toc235703254"/>
      <w:r>
        <w:rPr>
          <w:rFonts w:ascii="Times New Roman" w:hAnsi="Times New Roman" w:cs="Times New Roman"/>
          <w:b/>
          <w:bCs/>
          <w:color w:val="000000" w:themeColor="text1"/>
          <w:sz w:val="28"/>
          <w:szCs w:val="28"/>
          <w:lang w:val="lv-LV"/>
          <w14:textFill>
            <w14:solidFill>
              <w14:schemeClr w14:val="tx1"/>
            </w14:solidFill>
          </w14:textFill>
        </w:rPr>
        <w:t>Piedāvājumu vērtēšanas un izvēles kritēriji</w:t>
      </w:r>
      <w:bookmarkEnd w:id="7"/>
    </w:p>
    <w:p w14:paraId="12CE132A">
      <w:pPr>
        <w:spacing w:after="0"/>
        <w:rPr>
          <w:lang w:val="lv-LV"/>
        </w:rPr>
      </w:pPr>
    </w:p>
    <w:p w14:paraId="06C1F5C6">
      <w:pPr>
        <w:pStyle w:val="36"/>
        <w:numPr>
          <w:ilvl w:val="1"/>
          <w:numId w:val="1"/>
        </w:numPr>
        <w:tabs>
          <w:tab w:val="left" w:pos="360"/>
        </w:tabs>
        <w:suppressAutoHyphens/>
        <w:spacing w:after="0" w:line="360" w:lineRule="auto"/>
        <w:ind w:hanging="1080"/>
        <w:jc w:val="both"/>
        <w:rPr>
          <w:rFonts w:ascii="Times New Roman" w:hAnsi="Times New Roman" w:cs="Times New Roman"/>
          <w:b/>
          <w:bCs/>
          <w:lang w:val="lv-LV"/>
        </w:rPr>
      </w:pPr>
      <w:r>
        <w:rPr>
          <w:rFonts w:ascii="Times New Roman" w:hAnsi="Times New Roman" w:cs="Times New Roman"/>
          <w:b/>
          <w:bCs/>
          <w:lang w:val="lv-LV"/>
        </w:rPr>
        <w:t>Vispārīgie noteikumi</w:t>
      </w:r>
    </w:p>
    <w:p w14:paraId="59FE534B">
      <w:pPr>
        <w:pStyle w:val="36"/>
        <w:numPr>
          <w:ilvl w:val="2"/>
          <w:numId w:val="1"/>
        </w:numPr>
        <w:tabs>
          <w:tab w:val="left" w:pos="360"/>
        </w:tabs>
        <w:suppressAutoHyphens/>
        <w:spacing w:after="0" w:line="360" w:lineRule="auto"/>
        <w:ind w:left="851"/>
        <w:jc w:val="both"/>
        <w:rPr>
          <w:rFonts w:ascii="Times New Roman" w:hAnsi="Times New Roman" w:cs="Times New Roman"/>
          <w:lang w:val="lv-LV"/>
        </w:rPr>
      </w:pPr>
      <w:r>
        <w:rPr>
          <w:rFonts w:ascii="Times New Roman" w:hAnsi="Times New Roman" w:cs="Times New Roman"/>
          <w:lang w:val="lv-LV"/>
        </w:rPr>
        <w:t>Piedāvājumu noformējuma pārbaudi, Finanšu piedāvājumu atbilstības pārbaudi, Tehnisko piedāvājumu atbilstības pārbaudi un Pretendentu atlases dokumentu atbilstības pārbaudi Komisija veic slēgtā sēdē.</w:t>
      </w:r>
    </w:p>
    <w:p w14:paraId="0CCE3E17">
      <w:pPr>
        <w:numPr>
          <w:ilvl w:val="2"/>
          <w:numId w:val="1"/>
        </w:numPr>
        <w:tabs>
          <w:tab w:val="left" w:pos="360"/>
        </w:tabs>
        <w:suppressAutoHyphens/>
        <w:spacing w:after="0" w:line="360" w:lineRule="auto"/>
        <w:ind w:left="851"/>
        <w:jc w:val="both"/>
        <w:rPr>
          <w:rFonts w:ascii="Times New Roman" w:hAnsi="Times New Roman" w:cs="Times New Roman"/>
          <w:lang w:val="lv-LV"/>
        </w:rPr>
      </w:pPr>
      <w:r>
        <w:rPr>
          <w:rFonts w:ascii="Times New Roman" w:hAnsi="Times New Roman" w:cs="Times New Roman"/>
          <w:lang w:val="lv-LV"/>
        </w:rPr>
        <w:t>Piedāvājuma noformējuma pārbaudi, Finanšu piedāvājuma atbilstības pārbaudi un Tehnisko piedāvājumu atbilstības pārbaudi Komisija veic visiem Pretendentiem.</w:t>
      </w:r>
    </w:p>
    <w:p w14:paraId="5F30A3AA">
      <w:pPr>
        <w:numPr>
          <w:ilvl w:val="2"/>
          <w:numId w:val="1"/>
        </w:numPr>
        <w:tabs>
          <w:tab w:val="left" w:pos="360"/>
        </w:tabs>
        <w:suppressAutoHyphens/>
        <w:spacing w:after="0" w:line="360" w:lineRule="auto"/>
        <w:ind w:left="851"/>
        <w:jc w:val="both"/>
        <w:rPr>
          <w:rFonts w:ascii="Times New Roman" w:hAnsi="Times New Roman" w:cs="Times New Roman"/>
          <w:lang w:val="lv-LV"/>
        </w:rPr>
      </w:pPr>
      <w:r>
        <w:rPr>
          <w:rFonts w:ascii="Times New Roman" w:hAnsi="Times New Roman" w:cs="Times New Roman"/>
          <w:lang w:val="lv-LV"/>
        </w:rPr>
        <w:t>Komisija ir tiesīga veikt Atlases dokumentu pārbaudi tikai Pretendentam, kuram pirm šķietami būtu piešķiramas līguma slēgšanas tiesības attiecīgajā iepirkuma daļā.</w:t>
      </w:r>
    </w:p>
    <w:p w14:paraId="68038A25">
      <w:pPr>
        <w:numPr>
          <w:ilvl w:val="2"/>
          <w:numId w:val="1"/>
        </w:numPr>
        <w:tabs>
          <w:tab w:val="left" w:pos="360"/>
        </w:tabs>
        <w:suppressAutoHyphens/>
        <w:spacing w:after="0" w:line="360" w:lineRule="auto"/>
        <w:ind w:left="851"/>
        <w:jc w:val="both"/>
        <w:rPr>
          <w:rFonts w:ascii="Times New Roman" w:hAnsi="Times New Roman" w:cs="Times New Roman"/>
          <w:lang w:val="lv-LV"/>
        </w:rPr>
      </w:pPr>
      <w:r>
        <w:rPr>
          <w:rFonts w:ascii="Times New Roman" w:hAnsi="Times New Roman" w:cs="Times New Roman"/>
          <w:lang w:val="lv-LV"/>
        </w:rPr>
        <w:t>Komisija izvēlas Pretendentu, kura piedāvājums atbilst Nolikuma prasībām saskaņā ar Nolikumā noteiktajām prasībām.</w:t>
      </w:r>
    </w:p>
    <w:p w14:paraId="6AD7A207">
      <w:pPr>
        <w:numPr>
          <w:ilvl w:val="2"/>
          <w:numId w:val="1"/>
        </w:numPr>
        <w:tabs>
          <w:tab w:val="left" w:pos="360"/>
        </w:tabs>
        <w:suppressAutoHyphens/>
        <w:spacing w:after="0" w:line="360" w:lineRule="auto"/>
        <w:ind w:left="851"/>
        <w:jc w:val="both"/>
        <w:rPr>
          <w:rFonts w:ascii="Times New Roman" w:hAnsi="Times New Roman" w:cs="Times New Roman"/>
          <w:lang w:val="lv-LV"/>
        </w:rPr>
      </w:pPr>
      <w:r>
        <w:rPr>
          <w:rFonts w:ascii="Times New Roman" w:hAnsi="Times New Roman" w:cs="Times New Roman"/>
          <w:lang w:val="lv-LV"/>
        </w:rPr>
        <w:t>Komisija izvērtē Pretendentu iesniegtos piedāvājumus un apkopo vērtējumu protokolā.</w:t>
      </w:r>
    </w:p>
    <w:p w14:paraId="6D6FD8A8">
      <w:pPr>
        <w:numPr>
          <w:ilvl w:val="1"/>
          <w:numId w:val="1"/>
        </w:numPr>
        <w:tabs>
          <w:tab w:val="left" w:pos="360"/>
        </w:tabs>
        <w:suppressAutoHyphens/>
        <w:spacing w:after="0" w:line="360" w:lineRule="auto"/>
        <w:ind w:hanging="1080"/>
        <w:jc w:val="both"/>
        <w:rPr>
          <w:rFonts w:ascii="Times New Roman" w:hAnsi="Times New Roman" w:cs="Times New Roman"/>
          <w:b/>
          <w:bCs/>
          <w:lang w:val="lv-LV"/>
        </w:rPr>
      </w:pPr>
      <w:r>
        <w:rPr>
          <w:rFonts w:ascii="Times New Roman" w:hAnsi="Times New Roman" w:cs="Times New Roman"/>
          <w:lang w:val="lv-LV"/>
        </w:rPr>
        <w:t xml:space="preserve"> </w:t>
      </w:r>
      <w:r>
        <w:rPr>
          <w:rFonts w:ascii="Times New Roman" w:hAnsi="Times New Roman" w:cs="Times New Roman"/>
          <w:b/>
          <w:bCs/>
          <w:lang w:val="lv-LV"/>
        </w:rPr>
        <w:t>Piedāvājumu noformējuma pārbaude</w:t>
      </w:r>
    </w:p>
    <w:p w14:paraId="76D79772">
      <w:pPr>
        <w:numPr>
          <w:ilvl w:val="2"/>
          <w:numId w:val="1"/>
        </w:numPr>
        <w:tabs>
          <w:tab w:val="left" w:pos="360"/>
        </w:tabs>
        <w:suppressAutoHyphens/>
        <w:spacing w:after="0" w:line="360" w:lineRule="auto"/>
        <w:ind w:left="567" w:hanging="349"/>
        <w:jc w:val="both"/>
        <w:rPr>
          <w:rFonts w:ascii="Times New Roman" w:hAnsi="Times New Roman" w:cs="Times New Roman"/>
          <w:lang w:val="lv-LV"/>
        </w:rPr>
      </w:pPr>
      <w:r>
        <w:rPr>
          <w:rFonts w:ascii="Times New Roman" w:hAnsi="Times New Roman" w:cs="Times New Roman"/>
          <w:lang w:val="lv-LV"/>
        </w:rPr>
        <w:t>Piedāvājumu noformējuma pārbaudes laikā Komisija izvērtē, vai Pretendentu piedāvājumi sagatavoti un noformēti atbilstoši Nolikumā noteiktajām prasībām.</w:t>
      </w:r>
    </w:p>
    <w:p w14:paraId="47D9D857">
      <w:pPr>
        <w:numPr>
          <w:ilvl w:val="2"/>
          <w:numId w:val="1"/>
        </w:numPr>
        <w:tabs>
          <w:tab w:val="left" w:pos="360"/>
        </w:tabs>
        <w:suppressAutoHyphens/>
        <w:spacing w:after="0" w:line="360" w:lineRule="auto"/>
        <w:ind w:left="851" w:hanging="567"/>
        <w:jc w:val="both"/>
        <w:rPr>
          <w:rFonts w:ascii="Times New Roman" w:hAnsi="Times New Roman" w:cs="Times New Roman"/>
          <w:lang w:val="lv-LV"/>
        </w:rPr>
      </w:pPr>
      <w:r>
        <w:rPr>
          <w:rFonts w:ascii="Times New Roman" w:hAnsi="Times New Roman" w:cs="Times New Roman"/>
          <w:lang w:val="lv-LV"/>
        </w:rPr>
        <w:t>Ja Pretendenta piedāvājums nav noformēts atbilstoši Nolikumā noteiktajām prasībām, Komisija ir tiesīga piedāvājumu tālāk neizskatīt un nevērtēt, pieņemot argumentētu lēmumu par to</w:t>
      </w:r>
      <w:bookmarkStart w:id="8" w:name="_Toc98233551"/>
      <w:r>
        <w:rPr>
          <w:rFonts w:ascii="Times New Roman" w:hAnsi="Times New Roman" w:cs="Times New Roman"/>
          <w:lang w:val="lv-LV"/>
        </w:rPr>
        <w:t>, ņemot vērā samērīguma principu un nodrošinot vienlīdzīgu attieksmi visiem Pretendentiem, nenoraidot piedāvājumu formālu trūkumu dēļ, kuri neietekmē iespēju piedāvājumu izvērtēt pēc būtības.</w:t>
      </w:r>
    </w:p>
    <w:p w14:paraId="0B4D590D">
      <w:pPr>
        <w:numPr>
          <w:ilvl w:val="1"/>
          <w:numId w:val="1"/>
        </w:numPr>
        <w:tabs>
          <w:tab w:val="left" w:pos="360"/>
        </w:tabs>
        <w:suppressAutoHyphens/>
        <w:spacing w:after="0" w:line="360" w:lineRule="auto"/>
        <w:ind w:hanging="938"/>
        <w:jc w:val="both"/>
        <w:rPr>
          <w:rFonts w:ascii="Times New Roman" w:hAnsi="Times New Roman" w:cs="Times New Roman"/>
          <w:b/>
          <w:bCs/>
          <w:lang w:val="lv-LV"/>
        </w:rPr>
      </w:pPr>
      <w:r>
        <w:rPr>
          <w:rFonts w:ascii="Times New Roman" w:hAnsi="Times New Roman" w:cs="Times New Roman"/>
          <w:b/>
          <w:bCs/>
          <w:lang w:val="lv-LV"/>
        </w:rPr>
        <w:t>Finanšu piedāvājumu vērtēšana</w:t>
      </w:r>
    </w:p>
    <w:p w14:paraId="315DFA3A">
      <w:pPr>
        <w:numPr>
          <w:ilvl w:val="2"/>
          <w:numId w:val="1"/>
        </w:numPr>
        <w:tabs>
          <w:tab w:val="left" w:pos="360"/>
        </w:tabs>
        <w:suppressAutoHyphens/>
        <w:spacing w:after="0" w:line="360" w:lineRule="auto"/>
        <w:ind w:left="993"/>
        <w:jc w:val="both"/>
        <w:rPr>
          <w:rFonts w:ascii="Times New Roman" w:hAnsi="Times New Roman" w:cs="Times New Roman"/>
          <w:lang w:val="lv-LV"/>
        </w:rPr>
      </w:pPr>
      <w:bookmarkStart w:id="9" w:name="_Hlk30675012"/>
      <w:r>
        <w:rPr>
          <w:rFonts w:ascii="Times New Roman" w:hAnsi="Times New Roman" w:cs="Times New Roman"/>
          <w:lang w:val="lv-LV"/>
        </w:rPr>
        <w:t>Komisija vērtē Finanšu piedāvājumus un salīdzina piedāvātās līgumcenas tiem Pretendentiem, kuri nav noraidīti piedāvājuma noformējuma pārbaudes laikā</w:t>
      </w:r>
      <w:bookmarkEnd w:id="9"/>
      <w:r>
        <w:rPr>
          <w:rFonts w:ascii="Times New Roman" w:hAnsi="Times New Roman" w:cs="Times New Roman"/>
          <w:lang w:val="lv-LV"/>
        </w:rPr>
        <w:t>.</w:t>
      </w:r>
    </w:p>
    <w:p w14:paraId="7D5546E1">
      <w:pPr>
        <w:numPr>
          <w:ilvl w:val="2"/>
          <w:numId w:val="1"/>
        </w:numPr>
        <w:tabs>
          <w:tab w:val="left" w:pos="360"/>
        </w:tabs>
        <w:suppressAutoHyphens/>
        <w:spacing w:after="0" w:line="360" w:lineRule="auto"/>
        <w:ind w:left="993"/>
        <w:jc w:val="both"/>
        <w:rPr>
          <w:rFonts w:ascii="Times New Roman" w:hAnsi="Times New Roman" w:cs="Times New Roman"/>
          <w:lang w:val="lv-LV"/>
        </w:rPr>
      </w:pPr>
      <w:r>
        <w:rPr>
          <w:rFonts w:ascii="Times New Roman" w:hAnsi="Times New Roman" w:cs="Times New Roman"/>
          <w:lang w:val="lv-LV"/>
        </w:rPr>
        <w:t>Komisija pārbauda vai Finanšu piedāvājums sagatavots atbilstoši Nolikuma prasībām.</w:t>
      </w:r>
    </w:p>
    <w:p w14:paraId="4B8D0E56">
      <w:pPr>
        <w:numPr>
          <w:ilvl w:val="2"/>
          <w:numId w:val="1"/>
        </w:numPr>
        <w:tabs>
          <w:tab w:val="left" w:pos="360"/>
        </w:tabs>
        <w:suppressAutoHyphens/>
        <w:spacing w:after="0" w:line="360" w:lineRule="auto"/>
        <w:ind w:left="993"/>
        <w:jc w:val="both"/>
        <w:rPr>
          <w:rFonts w:ascii="Times New Roman" w:hAnsi="Times New Roman" w:cs="Times New Roman"/>
          <w:lang w:val="lv-LV"/>
        </w:rPr>
      </w:pPr>
      <w:r>
        <w:rPr>
          <w:rFonts w:ascii="Times New Roman" w:hAnsi="Times New Roman" w:cs="Times New Roman"/>
          <w:lang w:val="lv-LV"/>
        </w:rPr>
        <w:t>Lai izvērtētu, kuram no Pretendentiem pirms šķietami būtu piešķiramas līguma slēgšanas tiesības, proti, kurš ir piedāvājums ar piedāvāto zemāko cenu, Komisija atbilstoši PIL 41.panta devītajai daļai vispirms pārbauda, vai piedāvājumos nav aritmētisko kļūdu. Konstatētās aritmētiskās kļūdas Komisija izlabo. Par kļūdu labojumu un laboto piedāvājuma summu Komisija paziņo Pretendentam, kura pieļautās kļūdas labotas, un vērtējot piedāvājumu, ņem vērā labojumus.</w:t>
      </w:r>
    </w:p>
    <w:p w14:paraId="7D6BE8F5">
      <w:pPr>
        <w:numPr>
          <w:ilvl w:val="2"/>
          <w:numId w:val="1"/>
        </w:numPr>
        <w:tabs>
          <w:tab w:val="left" w:pos="360"/>
        </w:tabs>
        <w:suppressAutoHyphens/>
        <w:spacing w:after="0" w:line="360" w:lineRule="auto"/>
        <w:ind w:left="993"/>
        <w:jc w:val="both"/>
        <w:rPr>
          <w:rFonts w:ascii="Times New Roman" w:hAnsi="Times New Roman" w:cs="Times New Roman"/>
          <w:lang w:val="lv-LV"/>
        </w:rPr>
      </w:pPr>
      <w:r>
        <w:rPr>
          <w:rFonts w:ascii="Times New Roman" w:hAnsi="Times New Roman" w:cs="Times New Roman"/>
          <w:lang w:val="lv-LV"/>
        </w:rPr>
        <w:t>Ja Pretendenta iesniegtais piedāvājums šķiet nepamatoti lēts, Komisija rīkojas saskaņā ar PIL 53.pantu.</w:t>
      </w:r>
    </w:p>
    <w:bookmarkEnd w:id="8"/>
    <w:p w14:paraId="2FD4F88A">
      <w:pPr>
        <w:numPr>
          <w:ilvl w:val="1"/>
          <w:numId w:val="1"/>
        </w:numPr>
        <w:tabs>
          <w:tab w:val="left" w:pos="360"/>
        </w:tabs>
        <w:suppressAutoHyphens/>
        <w:spacing w:after="0" w:line="360" w:lineRule="auto"/>
        <w:ind w:hanging="938"/>
        <w:jc w:val="both"/>
        <w:rPr>
          <w:rFonts w:ascii="Times New Roman" w:hAnsi="Times New Roman" w:cs="Times New Roman"/>
          <w:lang w:val="lv-LV"/>
        </w:rPr>
      </w:pPr>
      <w:r>
        <w:rPr>
          <w:rFonts w:ascii="Times New Roman" w:hAnsi="Times New Roman" w:cs="Times New Roman"/>
          <w:lang w:val="lv-LV"/>
        </w:rPr>
        <w:t>Tehnisko piedāvājumu vērtēšana</w:t>
      </w:r>
    </w:p>
    <w:p w14:paraId="184F9197">
      <w:pPr>
        <w:numPr>
          <w:ilvl w:val="2"/>
          <w:numId w:val="1"/>
        </w:numPr>
        <w:tabs>
          <w:tab w:val="left" w:pos="360"/>
        </w:tabs>
        <w:suppressAutoHyphens/>
        <w:spacing w:after="0" w:line="360" w:lineRule="auto"/>
        <w:ind w:hanging="578"/>
        <w:jc w:val="both"/>
        <w:rPr>
          <w:rFonts w:ascii="Times New Roman" w:hAnsi="Times New Roman" w:cs="Times New Roman"/>
          <w:lang w:val="lv-LV"/>
        </w:rPr>
      </w:pPr>
      <w:r>
        <w:rPr>
          <w:rFonts w:ascii="Times New Roman" w:hAnsi="Times New Roman" w:cs="Times New Roman"/>
          <w:lang w:val="lv-LV"/>
        </w:rPr>
        <w:t xml:space="preserve">Iepirkumu komisija vērtē un pārbauda tikai to Pretendentu tehniskos piedāvājumus, kuri nav noraidīti noformējuma pārbaudes un Finanšu piedāvājuma pārbaudes laikā. </w:t>
      </w:r>
    </w:p>
    <w:p w14:paraId="3F90FDF6">
      <w:pPr>
        <w:numPr>
          <w:ilvl w:val="2"/>
          <w:numId w:val="1"/>
        </w:numPr>
        <w:tabs>
          <w:tab w:val="left" w:pos="360"/>
        </w:tabs>
        <w:suppressAutoHyphens/>
        <w:spacing w:after="0" w:line="360" w:lineRule="auto"/>
        <w:ind w:hanging="578"/>
        <w:jc w:val="both"/>
        <w:rPr>
          <w:rFonts w:ascii="Times New Roman" w:hAnsi="Times New Roman" w:cs="Times New Roman"/>
          <w:lang w:val="lv-LV"/>
        </w:rPr>
      </w:pPr>
      <w:r>
        <w:rPr>
          <w:rFonts w:ascii="Times New Roman" w:hAnsi="Times New Roman" w:cs="Times New Roman"/>
          <w:lang w:val="lv-LV"/>
        </w:rPr>
        <w:t>Komisija veiks Tehnisko piedāvājumu atbilstības pārbaudi atbilstoši Nolikuma prasībām.</w:t>
      </w:r>
    </w:p>
    <w:p w14:paraId="386B915F">
      <w:pPr>
        <w:numPr>
          <w:ilvl w:val="2"/>
          <w:numId w:val="1"/>
        </w:numPr>
        <w:tabs>
          <w:tab w:val="left" w:pos="360"/>
        </w:tabs>
        <w:suppressAutoHyphens/>
        <w:spacing w:after="0" w:line="360" w:lineRule="auto"/>
        <w:ind w:hanging="578"/>
        <w:jc w:val="both"/>
        <w:rPr>
          <w:rFonts w:ascii="Times New Roman" w:hAnsi="Times New Roman" w:cs="Times New Roman"/>
          <w:lang w:val="lv-LV"/>
        </w:rPr>
      </w:pPr>
      <w:r>
        <w:rPr>
          <w:rFonts w:ascii="Times New Roman" w:hAnsi="Times New Roman" w:cs="Times New Roman"/>
          <w:lang w:val="lv-LV"/>
        </w:rPr>
        <w:t>Ja tiks konstatēts, ka Pretendenta Tehniskais piedāvājums neatbilst Nolikuma prasībām, Komisija ir tiesīga piedāvājumu tālāk neizskatīt un nevērtēt, pieņemot argumentētu lēmumu par to.</w:t>
      </w:r>
    </w:p>
    <w:p w14:paraId="11B4BC89">
      <w:pPr>
        <w:numPr>
          <w:ilvl w:val="1"/>
          <w:numId w:val="1"/>
        </w:numPr>
        <w:tabs>
          <w:tab w:val="left" w:pos="360"/>
        </w:tabs>
        <w:suppressAutoHyphens/>
        <w:spacing w:after="0" w:line="360" w:lineRule="auto"/>
        <w:ind w:hanging="938"/>
        <w:jc w:val="both"/>
        <w:rPr>
          <w:rFonts w:ascii="Times New Roman" w:hAnsi="Times New Roman" w:cs="Times New Roman"/>
          <w:b/>
          <w:bCs/>
          <w:lang w:val="lv-LV"/>
        </w:rPr>
      </w:pPr>
      <w:r>
        <w:rPr>
          <w:rFonts w:ascii="Times New Roman" w:hAnsi="Times New Roman" w:cs="Times New Roman"/>
          <w:b/>
          <w:bCs/>
          <w:lang w:val="lv-LV"/>
        </w:rPr>
        <w:t>Atlases dokumentu atbilstības pārbaude</w:t>
      </w:r>
    </w:p>
    <w:p w14:paraId="5DB19122">
      <w:pPr>
        <w:numPr>
          <w:ilvl w:val="2"/>
          <w:numId w:val="1"/>
        </w:numPr>
        <w:tabs>
          <w:tab w:val="left" w:pos="360"/>
        </w:tabs>
        <w:suppressAutoHyphens/>
        <w:spacing w:after="0" w:line="360" w:lineRule="auto"/>
        <w:jc w:val="both"/>
        <w:rPr>
          <w:rFonts w:ascii="Times New Roman" w:hAnsi="Times New Roman" w:cs="Times New Roman"/>
          <w:lang w:val="lv-LV"/>
        </w:rPr>
      </w:pPr>
      <w:r>
        <w:rPr>
          <w:rFonts w:ascii="Times New Roman" w:hAnsi="Times New Roman" w:cs="Times New Roman"/>
          <w:lang w:val="lv-LV"/>
        </w:rPr>
        <w:t>Pretendentu atlases dokumentu atbilstības pārbaudi Komisija veiks tikai tam Pretendentam, kuram pirms šķietami būtu piešķiramas līguma slēgšanas tiesības.</w:t>
      </w:r>
    </w:p>
    <w:p w14:paraId="0019BC7E">
      <w:pPr>
        <w:numPr>
          <w:ilvl w:val="2"/>
          <w:numId w:val="1"/>
        </w:numPr>
        <w:tabs>
          <w:tab w:val="left" w:pos="360"/>
        </w:tabs>
        <w:suppressAutoHyphens/>
        <w:spacing w:after="0" w:line="360" w:lineRule="auto"/>
        <w:jc w:val="both"/>
        <w:rPr>
          <w:rFonts w:ascii="Times New Roman" w:hAnsi="Times New Roman" w:cs="Times New Roman"/>
          <w:lang w:val="lv-LV"/>
        </w:rPr>
      </w:pPr>
      <w:r>
        <w:rPr>
          <w:rFonts w:ascii="Times New Roman" w:hAnsi="Times New Roman" w:cs="Times New Roman"/>
          <w:lang w:val="lv-LV"/>
        </w:rPr>
        <w:t>Pretendentu atlases dokumentu atbilstības pārbaudes laikā Komisija pārbauda Pretendenta atbilstību PIL un Nolikumā izvirzītajām prasībām.</w:t>
      </w:r>
    </w:p>
    <w:p w14:paraId="7660D9E7">
      <w:pPr>
        <w:numPr>
          <w:ilvl w:val="2"/>
          <w:numId w:val="1"/>
        </w:numPr>
        <w:tabs>
          <w:tab w:val="left" w:pos="360"/>
        </w:tabs>
        <w:suppressAutoHyphens/>
        <w:spacing w:after="0" w:line="360" w:lineRule="auto"/>
        <w:jc w:val="both"/>
        <w:rPr>
          <w:rFonts w:ascii="Times New Roman" w:hAnsi="Times New Roman" w:cs="Times New Roman"/>
          <w:lang w:val="lv-LV"/>
        </w:rPr>
      </w:pPr>
      <w:r>
        <w:rPr>
          <w:rFonts w:ascii="Times New Roman" w:hAnsi="Times New Roman" w:cs="Times New Roman"/>
          <w:lang w:val="lv-LV"/>
        </w:rPr>
        <w:t>Ja Pretendents neatbilst kādai no PIL un/vai Nolikumā izvirzītajai prasībai, Komisija ir tiesīga piedāvājumu tālāk neizskatīt un nevērtēt, pieņemot argumentētu lēmumu.</w:t>
      </w:r>
    </w:p>
    <w:p w14:paraId="7C947298">
      <w:pPr>
        <w:numPr>
          <w:ilvl w:val="1"/>
          <w:numId w:val="1"/>
        </w:numPr>
        <w:tabs>
          <w:tab w:val="left" w:pos="360"/>
        </w:tabs>
        <w:suppressAutoHyphens/>
        <w:spacing w:after="0" w:line="360" w:lineRule="auto"/>
        <w:ind w:left="0" w:firstLine="142"/>
        <w:jc w:val="both"/>
        <w:rPr>
          <w:rFonts w:ascii="Times New Roman" w:hAnsi="Times New Roman" w:cs="Times New Roman"/>
          <w:b/>
          <w:bCs/>
          <w:lang w:val="lv-LV"/>
        </w:rPr>
      </w:pPr>
      <w:r>
        <w:rPr>
          <w:rFonts w:ascii="Times New Roman" w:hAnsi="Times New Roman" w:cs="Times New Roman"/>
          <w:b/>
          <w:bCs/>
          <w:lang w:val="lv-LV"/>
        </w:rPr>
        <w:t>Piedāvājuma izvēles kritēriji</w:t>
      </w:r>
    </w:p>
    <w:p w14:paraId="65FD2CA0">
      <w:pPr>
        <w:numPr>
          <w:ilvl w:val="2"/>
          <w:numId w:val="1"/>
        </w:numPr>
        <w:tabs>
          <w:tab w:val="left" w:pos="360"/>
        </w:tabs>
        <w:suppressAutoHyphens/>
        <w:spacing w:after="0" w:line="360" w:lineRule="auto"/>
        <w:ind w:left="0" w:firstLine="426"/>
        <w:jc w:val="both"/>
        <w:rPr>
          <w:rFonts w:ascii="Times New Roman" w:hAnsi="Times New Roman" w:cs="Times New Roman"/>
          <w:lang w:val="lv-LV"/>
        </w:rPr>
      </w:pPr>
      <w:r>
        <w:rPr>
          <w:rFonts w:ascii="Times New Roman" w:hAnsi="Times New Roman" w:cs="Times New Roman"/>
          <w:lang w:val="lv-LV"/>
        </w:rPr>
        <w:t xml:space="preserve">Pēc Pretendentu piedāvājumu noformējuma pārbaudes, Finanšu piedāvājumu atbilstības, un Tehniskā piedāvājuma atbilstības pārbaudes Nolikumā noteiktajām prasībām, no atbilstošajiem piedāvājumiem Iepirkuma komisija izvēlas piedāvājumu saskaņā ar PIL 51.pantā paredzēto piedāvājuma izvēles kritēriju – saimnieciski visizdevīgākais piedāvājums. </w:t>
      </w:r>
    </w:p>
    <w:p w14:paraId="3CA5D642">
      <w:pPr>
        <w:numPr>
          <w:ilvl w:val="2"/>
          <w:numId w:val="1"/>
        </w:numPr>
        <w:tabs>
          <w:tab w:val="left" w:pos="360"/>
        </w:tabs>
        <w:suppressAutoHyphens/>
        <w:spacing w:after="0" w:line="360" w:lineRule="auto"/>
        <w:ind w:left="0" w:firstLine="426"/>
        <w:jc w:val="both"/>
        <w:rPr>
          <w:rFonts w:ascii="Times New Roman" w:hAnsi="Times New Roman" w:cs="Times New Roman"/>
          <w:lang w:val="lv-LV"/>
        </w:rPr>
      </w:pPr>
      <w:r>
        <w:rPr>
          <w:rFonts w:ascii="Times New Roman" w:hAnsi="Times New Roman" w:cs="Times New Roman"/>
          <w:lang w:val="lv-LV"/>
        </w:rPr>
        <w:t>Iepirkumu komisija izvēlas saimnieciski visizdevīgāko piedāvājumu no piedāvājumiem, kas atbilst Nolikuma prasībām.</w:t>
      </w:r>
    </w:p>
    <w:p w14:paraId="41197D8A">
      <w:pPr>
        <w:numPr>
          <w:ilvl w:val="2"/>
          <w:numId w:val="1"/>
        </w:numPr>
        <w:tabs>
          <w:tab w:val="left" w:pos="360"/>
        </w:tabs>
        <w:suppressAutoHyphens/>
        <w:spacing w:after="0" w:line="360" w:lineRule="auto"/>
        <w:ind w:left="0" w:firstLine="426"/>
        <w:jc w:val="both"/>
        <w:rPr>
          <w:rFonts w:ascii="Times New Roman" w:hAnsi="Times New Roman" w:cs="Times New Roman"/>
          <w:lang w:val="lv-LV"/>
        </w:rPr>
      </w:pPr>
      <w:r>
        <w:rPr>
          <w:rFonts w:ascii="Times New Roman" w:hAnsi="Times New Roman" w:cs="Times New Roman"/>
          <w:lang w:val="lv-LV"/>
        </w:rPr>
        <w:t>Saimnieciski izdevīgākā piedāvājuma izvēles kritēriji un to skaitliskās vērtības:</w:t>
      </w:r>
    </w:p>
    <w:tbl>
      <w:tblPr>
        <w:tblStyle w:val="20"/>
        <w:tblW w:w="0" w:type="auto"/>
        <w:tblInd w:w="7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0"/>
        <w:gridCol w:w="5691"/>
        <w:gridCol w:w="2110"/>
      </w:tblGrid>
      <w:tr w14:paraId="131F1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14:paraId="09F1EFA0">
            <w:pPr>
              <w:spacing w:after="0" w:line="360" w:lineRule="auto"/>
              <w:jc w:val="both"/>
              <w:rPr>
                <w:rFonts w:ascii="Times New Roman" w:hAnsi="Times New Roman" w:eastAsia="Times New Roman" w:cs="Times New Roman"/>
                <w:b/>
                <w:bCs/>
                <w:kern w:val="3"/>
                <w:sz w:val="24"/>
                <w:szCs w:val="24"/>
                <w:lang w:val="lv-LV" w:eastAsia="zh-CN" w:bidi="hi-IN"/>
                <w14:ligatures w14:val="none"/>
              </w:rPr>
            </w:pPr>
            <w:r>
              <w:rPr>
                <w:rFonts w:ascii="Times New Roman" w:hAnsi="Times New Roman" w:eastAsia="Times New Roman" w:cs="Times New Roman"/>
                <w:b/>
                <w:bCs/>
                <w:kern w:val="3"/>
                <w:sz w:val="24"/>
                <w:szCs w:val="24"/>
                <w:lang w:val="lv-LV" w:eastAsia="zh-CN" w:bidi="hi-IN"/>
                <w14:ligatures w14:val="none"/>
              </w:rPr>
              <w:t>Nr. p.k.</w:t>
            </w:r>
          </w:p>
        </w:tc>
        <w:tc>
          <w:tcPr>
            <w:tcW w:w="5691" w:type="dxa"/>
          </w:tcPr>
          <w:p w14:paraId="21829475">
            <w:pPr>
              <w:spacing w:after="0" w:line="360" w:lineRule="auto"/>
              <w:jc w:val="both"/>
              <w:rPr>
                <w:rFonts w:ascii="Times New Roman" w:hAnsi="Times New Roman" w:eastAsia="Times New Roman" w:cs="Times New Roman"/>
                <w:b/>
                <w:bCs/>
                <w:kern w:val="3"/>
                <w:sz w:val="24"/>
                <w:szCs w:val="24"/>
                <w:lang w:val="lv-LV" w:eastAsia="zh-CN" w:bidi="hi-IN"/>
                <w14:ligatures w14:val="none"/>
              </w:rPr>
            </w:pPr>
          </w:p>
          <w:p w14:paraId="29862359">
            <w:pPr>
              <w:spacing w:after="0" w:line="360" w:lineRule="auto"/>
              <w:jc w:val="both"/>
              <w:rPr>
                <w:rFonts w:ascii="Times New Roman" w:hAnsi="Times New Roman" w:eastAsia="Times New Roman" w:cs="Times New Roman"/>
                <w:b/>
                <w:bCs/>
                <w:kern w:val="3"/>
                <w:sz w:val="24"/>
                <w:szCs w:val="24"/>
                <w:lang w:val="lv-LV" w:eastAsia="zh-CN" w:bidi="hi-IN"/>
                <w14:ligatures w14:val="none"/>
              </w:rPr>
            </w:pPr>
            <w:r>
              <w:rPr>
                <w:rFonts w:ascii="Times New Roman" w:hAnsi="Times New Roman" w:eastAsia="Times New Roman" w:cs="Times New Roman"/>
                <w:b/>
                <w:bCs/>
                <w:kern w:val="3"/>
                <w:sz w:val="24"/>
                <w:szCs w:val="24"/>
                <w:lang w:val="lv-LV" w:eastAsia="zh-CN" w:bidi="hi-IN"/>
                <w14:ligatures w14:val="none"/>
              </w:rPr>
              <w:t>Kvalitātes vērtēšanas kritērijs</w:t>
            </w:r>
          </w:p>
        </w:tc>
        <w:tc>
          <w:tcPr>
            <w:tcW w:w="2110" w:type="dxa"/>
          </w:tcPr>
          <w:p w14:paraId="1A06D4D1">
            <w:pPr>
              <w:spacing w:after="0" w:line="360" w:lineRule="auto"/>
              <w:jc w:val="both"/>
              <w:rPr>
                <w:rFonts w:ascii="Times New Roman" w:hAnsi="Times New Roman" w:eastAsia="Times New Roman" w:cs="Times New Roman"/>
                <w:b/>
                <w:bCs/>
                <w:kern w:val="3"/>
                <w:sz w:val="24"/>
                <w:szCs w:val="24"/>
                <w:lang w:val="lv-LV" w:eastAsia="zh-CN" w:bidi="hi-IN"/>
                <w14:ligatures w14:val="none"/>
              </w:rPr>
            </w:pPr>
            <w:r>
              <w:rPr>
                <w:rFonts w:ascii="Times New Roman" w:hAnsi="Times New Roman" w:eastAsia="Times New Roman" w:cs="Times New Roman"/>
                <w:b/>
                <w:bCs/>
                <w:kern w:val="3"/>
                <w:sz w:val="24"/>
                <w:szCs w:val="24"/>
                <w:lang w:val="lv-LV" w:eastAsia="zh-CN" w:bidi="hi-IN"/>
                <w14:ligatures w14:val="none"/>
              </w:rPr>
              <w:t>Maksimālais katram kritērijam piešķiramo punktu skaits</w:t>
            </w:r>
          </w:p>
        </w:tc>
      </w:tr>
      <w:tr w14:paraId="3BBBB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14:paraId="2A5C3336">
            <w:pPr>
              <w:spacing w:after="0" w:line="360" w:lineRule="auto"/>
              <w:jc w:val="both"/>
              <w:rPr>
                <w:rFonts w:ascii="Times New Roman" w:hAnsi="Times New Roman" w:eastAsia="Times New Roman" w:cs="Times New Roman"/>
                <w:kern w:val="3"/>
                <w:sz w:val="24"/>
                <w:szCs w:val="24"/>
                <w:lang w:val="lv-LV" w:eastAsia="zh-CN" w:bidi="hi-IN"/>
                <w14:ligatures w14:val="none"/>
              </w:rPr>
            </w:pPr>
            <w:r>
              <w:rPr>
                <w:rFonts w:ascii="Times New Roman" w:hAnsi="Times New Roman" w:eastAsia="Times New Roman" w:cs="Times New Roman"/>
                <w:kern w:val="3"/>
                <w:sz w:val="24"/>
                <w:szCs w:val="24"/>
                <w:lang w:val="lv-LV" w:eastAsia="zh-CN" w:bidi="hi-IN"/>
                <w14:ligatures w14:val="none"/>
              </w:rPr>
              <w:t>1.</w:t>
            </w:r>
          </w:p>
        </w:tc>
        <w:tc>
          <w:tcPr>
            <w:tcW w:w="5691" w:type="dxa"/>
          </w:tcPr>
          <w:p w14:paraId="2E255DC8">
            <w:pPr>
              <w:spacing w:after="0" w:line="240" w:lineRule="auto"/>
              <w:jc w:val="both"/>
              <w:rPr>
                <w:rFonts w:ascii="Times New Roman" w:hAnsi="Times New Roman" w:eastAsia="Times New Roman" w:cs="Times New Roman"/>
                <w:kern w:val="3"/>
                <w:sz w:val="24"/>
                <w:szCs w:val="24"/>
                <w:lang w:val="lv-LV" w:eastAsia="zh-CN" w:bidi="hi-IN"/>
                <w14:ligatures w14:val="none"/>
              </w:rPr>
            </w:pPr>
            <w:r>
              <w:rPr>
                <w:rFonts w:ascii="Times New Roman" w:hAnsi="Times New Roman" w:eastAsia="Times New Roman" w:cs="Times New Roman"/>
                <w:kern w:val="3"/>
                <w:sz w:val="24"/>
                <w:szCs w:val="24"/>
                <w:lang w:val="lv-LV" w:eastAsia="zh-CN" w:bidi="hi-IN"/>
                <w14:ligatures w14:val="none"/>
              </w:rPr>
              <w:t>Pretendenta piedāvātā kopējā līgumcena EUR bez PVN;</w:t>
            </w:r>
          </w:p>
          <w:p w14:paraId="6A8BA037">
            <w:pPr>
              <w:spacing w:after="0" w:line="240" w:lineRule="auto"/>
              <w:jc w:val="both"/>
              <w:rPr>
                <w:rFonts w:ascii="Times New Roman" w:hAnsi="Times New Roman" w:eastAsia="Times New Roman" w:cs="Times New Roman"/>
                <w:kern w:val="3"/>
                <w:sz w:val="24"/>
                <w:szCs w:val="24"/>
                <w:lang w:val="lv-LV" w:eastAsia="zh-CN" w:bidi="hi-IN"/>
                <w14:ligatures w14:val="none"/>
              </w:rPr>
            </w:pPr>
            <w:r>
              <w:rPr>
                <w:rFonts w:ascii="Times New Roman" w:hAnsi="Times New Roman" w:eastAsia="Times New Roman" w:cs="Times New Roman"/>
                <w:kern w:val="3"/>
                <w:sz w:val="24"/>
                <w:szCs w:val="24"/>
                <w:lang w:val="lv-LV" w:eastAsia="zh-CN" w:bidi="hi-IN"/>
                <w14:ligatures w14:val="none"/>
              </w:rPr>
              <w:t>Pretendenta piedāvājums ar zemāko piedāvāto cenu (EUR bez PVN) tiek vērtēts ar maksimālo punktu skaitu;</w:t>
            </w:r>
          </w:p>
          <w:p w14:paraId="098E40AA">
            <w:pPr>
              <w:spacing w:after="0" w:line="240" w:lineRule="auto"/>
              <w:jc w:val="both"/>
              <w:rPr>
                <w:rFonts w:ascii="Times New Roman" w:hAnsi="Times New Roman" w:eastAsia="Times New Roman" w:cs="Times New Roman"/>
                <w:kern w:val="3"/>
                <w:sz w:val="24"/>
                <w:szCs w:val="24"/>
                <w:lang w:val="lv-LV" w:eastAsia="zh-CN" w:bidi="hi-IN"/>
                <w14:ligatures w14:val="none"/>
              </w:rPr>
            </w:pPr>
            <w:r>
              <w:rPr>
                <w:rFonts w:ascii="Times New Roman" w:hAnsi="Times New Roman" w:eastAsia="Times New Roman" w:cs="Times New Roman"/>
                <w:kern w:val="3"/>
                <w:sz w:val="24"/>
                <w:szCs w:val="24"/>
                <w:lang w:val="lv-LV" w:eastAsia="zh-CN" w:bidi="hi-IN"/>
                <w14:ligatures w14:val="none"/>
              </w:rPr>
              <w:t>Pārējo pretendentu punkti tiek aprēķināti pēc formulas:</w:t>
            </w:r>
          </w:p>
          <w:p w14:paraId="315375B4">
            <w:pPr>
              <w:spacing w:after="0" w:line="240" w:lineRule="auto"/>
              <w:jc w:val="both"/>
              <w:rPr>
                <w:rFonts w:ascii="Times New Roman" w:hAnsi="Times New Roman" w:eastAsia="Times New Roman" w:cs="Times New Roman"/>
                <w:kern w:val="3"/>
                <w:sz w:val="24"/>
                <w:szCs w:val="24"/>
                <w:lang w:val="lv-LV" w:eastAsia="zh-CN" w:bidi="hi-IN"/>
                <w14:ligatures w14:val="none"/>
              </w:rPr>
            </w:pPr>
            <w:r>
              <w:rPr>
                <w:rFonts w:ascii="Times New Roman" w:hAnsi="Times New Roman" w:eastAsia="Times New Roman" w:cs="Times New Roman"/>
                <w:kern w:val="3"/>
                <w:sz w:val="24"/>
                <w:szCs w:val="24"/>
                <w:lang w:val="lv-LV" w:eastAsia="zh-CN" w:bidi="hi-IN"/>
                <w14:ligatures w14:val="none"/>
              </w:rPr>
              <w:t>100x(A/B), kur:</w:t>
            </w:r>
          </w:p>
          <w:p w14:paraId="69D739DA">
            <w:pPr>
              <w:spacing w:after="0" w:line="240" w:lineRule="auto"/>
              <w:jc w:val="both"/>
              <w:rPr>
                <w:rFonts w:ascii="Times New Roman" w:hAnsi="Times New Roman" w:eastAsia="Times New Roman" w:cs="Times New Roman"/>
                <w:kern w:val="3"/>
                <w:sz w:val="24"/>
                <w:szCs w:val="24"/>
                <w:lang w:val="lv-LV" w:eastAsia="zh-CN" w:bidi="hi-IN"/>
                <w14:ligatures w14:val="none"/>
              </w:rPr>
            </w:pPr>
            <w:r>
              <w:rPr>
                <w:rFonts w:ascii="Times New Roman" w:hAnsi="Times New Roman" w:eastAsia="Times New Roman" w:cs="Times New Roman"/>
                <w:kern w:val="3"/>
                <w:sz w:val="24"/>
                <w:szCs w:val="24"/>
                <w:lang w:val="lv-LV" w:eastAsia="zh-CN" w:bidi="hi-IN"/>
                <w14:ligatures w14:val="none"/>
              </w:rPr>
              <w:t>90 – maksimālais punktu skaits</w:t>
            </w:r>
          </w:p>
          <w:p w14:paraId="00D35AA2">
            <w:pPr>
              <w:spacing w:after="0" w:line="240" w:lineRule="auto"/>
              <w:jc w:val="both"/>
              <w:rPr>
                <w:rFonts w:ascii="Times New Roman" w:hAnsi="Times New Roman" w:eastAsia="Times New Roman" w:cs="Times New Roman"/>
                <w:kern w:val="3"/>
                <w:sz w:val="24"/>
                <w:szCs w:val="24"/>
                <w:lang w:val="lv-LV" w:eastAsia="zh-CN" w:bidi="hi-IN"/>
                <w14:ligatures w14:val="none"/>
              </w:rPr>
            </w:pPr>
            <w:r>
              <w:rPr>
                <w:rFonts w:ascii="Times New Roman" w:hAnsi="Times New Roman" w:eastAsia="Times New Roman" w:cs="Times New Roman"/>
                <w:kern w:val="3"/>
                <w:sz w:val="24"/>
                <w:szCs w:val="24"/>
                <w:lang w:val="lv-LV" w:eastAsia="zh-CN" w:bidi="hi-IN"/>
                <w14:ligatures w14:val="none"/>
              </w:rPr>
              <w:t>A – viszemākā piedāvātā cena</w:t>
            </w:r>
          </w:p>
          <w:p w14:paraId="4748A4AF">
            <w:pPr>
              <w:spacing w:after="0" w:line="240" w:lineRule="auto"/>
              <w:jc w:val="both"/>
              <w:rPr>
                <w:rFonts w:ascii="Times New Roman" w:hAnsi="Times New Roman" w:eastAsia="Times New Roman" w:cs="Times New Roman"/>
                <w:kern w:val="3"/>
                <w:sz w:val="24"/>
                <w:szCs w:val="24"/>
                <w:lang w:val="lv-LV" w:eastAsia="zh-CN" w:bidi="hi-IN"/>
                <w14:ligatures w14:val="none"/>
              </w:rPr>
            </w:pPr>
            <w:r>
              <w:rPr>
                <w:rFonts w:ascii="Times New Roman" w:hAnsi="Times New Roman" w:eastAsia="Times New Roman" w:cs="Times New Roman"/>
                <w:kern w:val="3"/>
                <w:sz w:val="24"/>
                <w:szCs w:val="24"/>
                <w:lang w:val="lv-LV" w:eastAsia="zh-CN" w:bidi="hi-IN"/>
                <w14:ligatures w14:val="none"/>
              </w:rPr>
              <w:t>B – vērtējamā cena</w:t>
            </w:r>
          </w:p>
        </w:tc>
        <w:tc>
          <w:tcPr>
            <w:tcW w:w="2110" w:type="dxa"/>
          </w:tcPr>
          <w:p w14:paraId="48E2B161">
            <w:pPr>
              <w:spacing w:after="0" w:line="360" w:lineRule="auto"/>
              <w:jc w:val="both"/>
              <w:rPr>
                <w:rFonts w:ascii="Times New Roman" w:hAnsi="Times New Roman" w:eastAsia="Times New Roman" w:cs="Times New Roman"/>
                <w:kern w:val="3"/>
                <w:sz w:val="24"/>
                <w:szCs w:val="24"/>
                <w:lang w:val="lv-LV" w:eastAsia="zh-CN" w:bidi="hi-IN"/>
                <w14:ligatures w14:val="none"/>
              </w:rPr>
            </w:pPr>
            <w:r>
              <w:rPr>
                <w:rFonts w:ascii="Times New Roman" w:hAnsi="Times New Roman" w:eastAsia="Times New Roman" w:cs="Times New Roman"/>
                <w:kern w:val="3"/>
                <w:sz w:val="24"/>
                <w:szCs w:val="24"/>
                <w:lang w:val="lv-LV" w:eastAsia="zh-CN" w:bidi="hi-IN"/>
                <w14:ligatures w14:val="none"/>
              </w:rPr>
              <w:t>90</w:t>
            </w:r>
          </w:p>
        </w:tc>
      </w:tr>
      <w:tr w14:paraId="10533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14:paraId="2BC610C6">
            <w:pPr>
              <w:spacing w:after="0" w:line="360" w:lineRule="auto"/>
              <w:jc w:val="both"/>
              <w:rPr>
                <w:rFonts w:ascii="Times New Roman" w:hAnsi="Times New Roman" w:eastAsia="Times New Roman" w:cs="Times New Roman"/>
                <w:kern w:val="3"/>
                <w:sz w:val="24"/>
                <w:szCs w:val="24"/>
                <w:lang w:val="lv-LV" w:eastAsia="zh-CN" w:bidi="hi-IN"/>
                <w14:ligatures w14:val="none"/>
              </w:rPr>
            </w:pPr>
            <w:r>
              <w:rPr>
                <w:rFonts w:ascii="Times New Roman" w:hAnsi="Times New Roman" w:eastAsia="Times New Roman" w:cs="Times New Roman"/>
                <w:kern w:val="3"/>
                <w:sz w:val="24"/>
                <w:szCs w:val="24"/>
                <w:lang w:val="lv-LV" w:eastAsia="zh-CN" w:bidi="hi-IN"/>
                <w14:ligatures w14:val="none"/>
              </w:rPr>
              <w:t>2</w:t>
            </w:r>
          </w:p>
        </w:tc>
        <w:tc>
          <w:tcPr>
            <w:tcW w:w="5691" w:type="dxa"/>
          </w:tcPr>
          <w:p w14:paraId="687E44E8">
            <w:pPr>
              <w:spacing w:after="0" w:line="240" w:lineRule="auto"/>
              <w:jc w:val="both"/>
              <w:rPr>
                <w:rFonts w:ascii="Times New Roman" w:hAnsi="Times New Roman" w:eastAsia="Times New Roman" w:cs="Times New Roman"/>
                <w:kern w:val="3"/>
                <w:sz w:val="24"/>
                <w:szCs w:val="24"/>
                <w:lang w:val="lv-LV" w:eastAsia="zh-CN" w:bidi="hi-IN"/>
                <w14:ligatures w14:val="none"/>
              </w:rPr>
            </w:pPr>
            <w:r>
              <w:rPr>
                <w:rFonts w:ascii="Times New Roman" w:hAnsi="Times New Roman" w:eastAsia="Times New Roman" w:cs="Times New Roman"/>
                <w:kern w:val="3"/>
                <w:sz w:val="24"/>
                <w:szCs w:val="24"/>
                <w:lang w:val="lv-LV" w:eastAsia="zh-CN" w:bidi="hi-IN"/>
                <w14:ligatures w14:val="none"/>
              </w:rPr>
              <w:t>Pretendenta piedāvāto speciālistu iepriekšēja savstarpējā sadarbība kopīgos projektos.</w:t>
            </w:r>
          </w:p>
          <w:p w14:paraId="4F267556">
            <w:pPr>
              <w:spacing w:after="0" w:line="240" w:lineRule="auto"/>
              <w:jc w:val="both"/>
              <w:rPr>
                <w:rFonts w:ascii="Times New Roman" w:hAnsi="Times New Roman" w:eastAsia="Times New Roman" w:cs="Times New Roman"/>
                <w:kern w:val="3"/>
                <w:sz w:val="24"/>
                <w:szCs w:val="24"/>
                <w:lang w:val="lv-LV" w:eastAsia="zh-CN" w:bidi="hi-IN"/>
                <w14:ligatures w14:val="none"/>
              </w:rPr>
            </w:pPr>
            <w:r>
              <w:rPr>
                <w:rFonts w:ascii="Times New Roman" w:hAnsi="Times New Roman" w:eastAsia="Times New Roman" w:cs="Times New Roman"/>
                <w:kern w:val="3"/>
                <w:sz w:val="24"/>
                <w:szCs w:val="24"/>
                <w:lang w:val="lv-LV" w:eastAsia="zh-CN" w:bidi="hi-IN"/>
                <w14:ligatures w14:val="none"/>
              </w:rPr>
              <w:t>Maksimālais kritērija punktu skaits – 10 (desmit) punkti.</w:t>
            </w:r>
          </w:p>
          <w:p w14:paraId="11704427">
            <w:pPr>
              <w:spacing w:after="0" w:line="240" w:lineRule="auto"/>
              <w:jc w:val="both"/>
              <w:rPr>
                <w:rFonts w:ascii="Times New Roman" w:hAnsi="Times New Roman" w:eastAsia="Times New Roman" w:cs="Times New Roman"/>
                <w:kern w:val="3"/>
                <w:sz w:val="24"/>
                <w:szCs w:val="24"/>
                <w:lang w:val="lv-LV" w:eastAsia="zh-CN" w:bidi="hi-IN"/>
                <w14:ligatures w14:val="none"/>
              </w:rPr>
            </w:pPr>
            <w:r>
              <w:rPr>
                <w:rFonts w:ascii="Times New Roman" w:hAnsi="Times New Roman" w:eastAsia="Times New Roman" w:cs="Times New Roman"/>
                <w:kern w:val="3"/>
                <w:sz w:val="24"/>
                <w:szCs w:val="24"/>
                <w:lang w:val="lv-LV" w:eastAsia="zh-CN" w:bidi="hi-IN"/>
                <w14:ligatures w14:val="none"/>
              </w:rPr>
              <w:t>Punktu skaits tiek piešķirts pēc šādas metodikas:</w:t>
            </w:r>
          </w:p>
          <w:p w14:paraId="1AF352D4">
            <w:pPr>
              <w:spacing w:after="0" w:line="240" w:lineRule="auto"/>
              <w:jc w:val="both"/>
              <w:rPr>
                <w:rFonts w:ascii="Times New Roman" w:hAnsi="Times New Roman" w:eastAsia="Times New Roman" w:cs="Times New Roman"/>
                <w:kern w:val="3"/>
                <w:sz w:val="24"/>
                <w:szCs w:val="24"/>
                <w:lang w:val="lv-LV" w:eastAsia="zh-CN" w:bidi="hi-IN"/>
                <w14:ligatures w14:val="none"/>
              </w:rPr>
            </w:pPr>
            <w:r>
              <w:rPr>
                <w:rFonts w:ascii="Times New Roman" w:hAnsi="Times New Roman" w:eastAsia="Times New Roman" w:cs="Times New Roman"/>
                <w:kern w:val="3"/>
                <w:sz w:val="24"/>
                <w:szCs w:val="24"/>
                <w:lang w:val="lv-LV" w:eastAsia="zh-CN" w:bidi="hi-IN"/>
                <w14:ligatures w14:val="none"/>
              </w:rPr>
              <w:t>- par pretendenta sadarbību projektā vai projektos, uz kuriem tiek balstīta speciālistu pieredze tiek piešķirti 10 punkti.</w:t>
            </w:r>
          </w:p>
        </w:tc>
        <w:tc>
          <w:tcPr>
            <w:tcW w:w="2110" w:type="dxa"/>
          </w:tcPr>
          <w:p w14:paraId="03BD4D83">
            <w:pPr>
              <w:spacing w:after="0" w:line="360" w:lineRule="auto"/>
              <w:jc w:val="both"/>
              <w:rPr>
                <w:rFonts w:ascii="Times New Roman" w:hAnsi="Times New Roman" w:eastAsia="Times New Roman" w:cs="Times New Roman"/>
                <w:kern w:val="3"/>
                <w:sz w:val="24"/>
                <w:szCs w:val="24"/>
                <w:lang w:val="lv-LV" w:eastAsia="zh-CN" w:bidi="hi-IN"/>
                <w14:ligatures w14:val="none"/>
              </w:rPr>
            </w:pPr>
            <w:r>
              <w:rPr>
                <w:rFonts w:ascii="Times New Roman" w:hAnsi="Times New Roman" w:eastAsia="Times New Roman" w:cs="Times New Roman"/>
                <w:kern w:val="3"/>
                <w:sz w:val="24"/>
                <w:szCs w:val="24"/>
                <w:lang w:val="lv-LV" w:eastAsia="zh-CN" w:bidi="hi-IN"/>
                <w14:ligatures w14:val="none"/>
              </w:rPr>
              <w:t>10</w:t>
            </w:r>
          </w:p>
        </w:tc>
      </w:tr>
    </w:tbl>
    <w:p w14:paraId="63F595BB">
      <w:pPr>
        <w:numPr>
          <w:ilvl w:val="2"/>
          <w:numId w:val="1"/>
        </w:numPr>
        <w:tabs>
          <w:tab w:val="left" w:pos="360"/>
        </w:tabs>
        <w:suppressAutoHyphens/>
        <w:spacing w:after="0" w:line="360" w:lineRule="auto"/>
        <w:ind w:left="0" w:firstLine="426"/>
        <w:jc w:val="both"/>
        <w:rPr>
          <w:rFonts w:ascii="Times New Roman" w:hAnsi="Times New Roman" w:cs="Times New Roman"/>
          <w:lang w:val="lv-LV"/>
        </w:rPr>
      </w:pPr>
      <w:r>
        <w:rPr>
          <w:rFonts w:ascii="Times New Roman" w:hAnsi="Times New Roman" w:cs="Times New Roman"/>
          <w:lang w:val="lv-LV"/>
        </w:rPr>
        <w:t>Par saimnieciski visizdevīgāko piedāvājumu tiks atzīts piedāvājums, kurš ieguvis visaugstāko punktu skaitu. Maksimālais punktu skaits ir 100 (viens simts) punktu.</w:t>
      </w:r>
    </w:p>
    <w:p w14:paraId="5F7E05DE">
      <w:pPr>
        <w:numPr>
          <w:ilvl w:val="2"/>
          <w:numId w:val="1"/>
        </w:numPr>
        <w:tabs>
          <w:tab w:val="left" w:pos="360"/>
        </w:tabs>
        <w:suppressAutoHyphens/>
        <w:spacing w:after="0" w:line="360" w:lineRule="auto"/>
        <w:ind w:left="0" w:firstLine="426"/>
        <w:jc w:val="both"/>
        <w:rPr>
          <w:rFonts w:ascii="Times New Roman" w:hAnsi="Times New Roman" w:cs="Times New Roman"/>
          <w:lang w:val="lv-LV"/>
        </w:rPr>
      </w:pPr>
      <w:r>
        <w:rPr>
          <w:rFonts w:ascii="Times New Roman" w:hAnsi="Times New Roman" w:cs="Times New Roman"/>
          <w:lang w:val="lv-LV"/>
        </w:rPr>
        <w:t xml:space="preserve">Ja Pasūtītāja iepirkumu komisija konstatē, ka atbilstoši noteiktajam piedāvājuma izvēles kritērijam vairākiem piedāvājumiem novērtējums ir vienāds, tad līguma slēgšanas tiesības tiek piešķirtas Pretendentam, kurš saņēmis lielāko punktu skaitu kritērijā Nr. 1 “Pretendenta piedāvātā kopējā līgumcena EUR, bez PVN”. </w:t>
      </w:r>
    </w:p>
    <w:p w14:paraId="00B3F4D0">
      <w:pPr>
        <w:tabs>
          <w:tab w:val="left" w:pos="360"/>
        </w:tabs>
        <w:suppressAutoHyphens/>
        <w:spacing w:after="0" w:line="360" w:lineRule="auto"/>
        <w:jc w:val="both"/>
        <w:rPr>
          <w:rFonts w:ascii="Times New Roman" w:hAnsi="Times New Roman" w:cs="Times New Roman"/>
          <w:lang w:val="lv-LV"/>
        </w:rPr>
      </w:pPr>
      <w:r>
        <w:rPr>
          <w:rFonts w:ascii="Times New Roman" w:hAnsi="Times New Roman" w:cs="Times New Roman"/>
          <w:lang w:val="lv-LV"/>
        </w:rPr>
        <w:t>8.6.6. Ja atklātā konkursā piedāvājumu ir iesniedzis tikai viens Pretendents, Iepirkumu komisija rīkojas atbilstoši Publisko iepirkumu likuma 41. panta divpadsmitajai daļai.</w:t>
      </w:r>
    </w:p>
    <w:p w14:paraId="12C376E7">
      <w:pPr>
        <w:tabs>
          <w:tab w:val="left" w:pos="360"/>
        </w:tabs>
        <w:suppressAutoHyphens/>
        <w:spacing w:after="0" w:line="360" w:lineRule="auto"/>
        <w:ind w:firstLine="142"/>
        <w:jc w:val="both"/>
        <w:rPr>
          <w:rFonts w:ascii="Times New Roman" w:hAnsi="Times New Roman" w:cs="Times New Roman"/>
          <w:lang w:val="lv-LV"/>
        </w:rPr>
      </w:pPr>
      <w:r>
        <w:rPr>
          <w:rFonts w:ascii="Times New Roman" w:hAnsi="Times New Roman" w:cs="Times New Roman"/>
          <w:lang w:val="lv-LV"/>
        </w:rPr>
        <w:t>8.6.6.1. Iepirkumu komisija pieņem lēmumu pārtraukt iepirkuma procedūru, izņemot gadījumu, kad:</w:t>
      </w:r>
    </w:p>
    <w:p w14:paraId="6FB53D41">
      <w:pPr>
        <w:tabs>
          <w:tab w:val="left" w:pos="360"/>
        </w:tabs>
        <w:suppressAutoHyphens/>
        <w:spacing w:after="0" w:line="360" w:lineRule="auto"/>
        <w:ind w:firstLine="142"/>
        <w:jc w:val="both"/>
        <w:rPr>
          <w:rFonts w:ascii="Times New Roman" w:hAnsi="Times New Roman" w:cs="Times New Roman"/>
          <w:lang w:val="lv-LV"/>
        </w:rPr>
      </w:pPr>
      <w:r>
        <w:rPr>
          <w:rFonts w:ascii="Times New Roman" w:hAnsi="Times New Roman" w:cs="Times New Roman"/>
          <w:lang w:val="lv-LV"/>
        </w:rPr>
        <w:t>a) Pasūtītājs pirms iepirkuma procedūras izsludināšanas ir rīkojis Publisko iepirkumu likuma 18. panta 2.1 daļas prasībām atbilstošu apspriedi ar piegādātājiem; vai</w:t>
      </w:r>
    </w:p>
    <w:p w14:paraId="16FBDAF1">
      <w:pPr>
        <w:tabs>
          <w:tab w:val="left" w:pos="360"/>
        </w:tabs>
        <w:suppressAutoHyphens/>
        <w:spacing w:after="0" w:line="360" w:lineRule="auto"/>
        <w:ind w:firstLine="142"/>
        <w:jc w:val="both"/>
        <w:rPr>
          <w:rFonts w:ascii="Times New Roman" w:hAnsi="Times New Roman" w:cs="Times New Roman"/>
          <w:lang w:val="lv-LV"/>
        </w:rPr>
      </w:pPr>
      <w:r>
        <w:rPr>
          <w:rFonts w:ascii="Times New Roman" w:hAnsi="Times New Roman" w:cs="Times New Roman"/>
          <w:lang w:val="lv-LV"/>
        </w:rPr>
        <w:t>b) iepirkuma procedūras pārtraukšana apdraud sabiedrības drošības vai veselības aizsardzības intereses.</w:t>
      </w:r>
    </w:p>
    <w:p w14:paraId="570B1635">
      <w:pPr>
        <w:tabs>
          <w:tab w:val="left" w:pos="360"/>
        </w:tabs>
        <w:suppressAutoHyphens/>
        <w:spacing w:after="0" w:line="360" w:lineRule="auto"/>
        <w:ind w:firstLine="142"/>
        <w:jc w:val="both"/>
        <w:rPr>
          <w:rFonts w:ascii="Times New Roman" w:hAnsi="Times New Roman" w:cs="Times New Roman"/>
          <w:lang w:val="lv-LV"/>
        </w:rPr>
      </w:pPr>
      <w:r>
        <w:rPr>
          <w:rFonts w:ascii="Times New Roman" w:hAnsi="Times New Roman" w:cs="Times New Roman"/>
          <w:lang w:val="lv-LV"/>
        </w:rPr>
        <w:t>8.6.6.2. Ja ir piemērojams kāds no Nolikuma 8.6.6.1. apakšpunktā noteiktajiem izņēmumiem un Iepirkumu komisija pieņem lēmumu iepirkuma procedūru nepārtraukt, vienīgais iesniegtais piedāvājums tiek izvērtēts pilnā apjomā saskaņā ar Nolikumā noteikto kārtību.</w:t>
      </w:r>
    </w:p>
    <w:p w14:paraId="5F5FD41B">
      <w:pPr>
        <w:tabs>
          <w:tab w:val="left" w:pos="360"/>
        </w:tabs>
        <w:suppressAutoHyphens/>
        <w:spacing w:after="0" w:line="360" w:lineRule="auto"/>
        <w:ind w:firstLine="142"/>
        <w:jc w:val="both"/>
        <w:rPr>
          <w:rFonts w:ascii="Times New Roman" w:hAnsi="Times New Roman" w:cs="Times New Roman"/>
          <w:lang w:val="lv-LV"/>
        </w:rPr>
      </w:pPr>
      <w:r>
        <w:rPr>
          <w:rFonts w:ascii="Times New Roman" w:hAnsi="Times New Roman" w:cs="Times New Roman"/>
          <w:lang w:val="lv-LV"/>
        </w:rPr>
        <w:t>8.6.6.3. Iepirkumu komisija pārbauda:</w:t>
      </w:r>
    </w:p>
    <w:p w14:paraId="7A58FC60">
      <w:pPr>
        <w:tabs>
          <w:tab w:val="left" w:pos="360"/>
        </w:tabs>
        <w:suppressAutoHyphens/>
        <w:spacing w:after="0" w:line="360" w:lineRule="auto"/>
        <w:ind w:firstLine="142"/>
        <w:jc w:val="both"/>
        <w:rPr>
          <w:rFonts w:ascii="Times New Roman" w:hAnsi="Times New Roman" w:cs="Times New Roman"/>
          <w:lang w:val="lv-LV"/>
        </w:rPr>
      </w:pPr>
      <w:r>
        <w:rPr>
          <w:rFonts w:ascii="Times New Roman" w:hAnsi="Times New Roman" w:cs="Times New Roman"/>
          <w:lang w:val="lv-LV"/>
        </w:rPr>
        <w:t>a) Pretendenta atbilstību Nolikuma kvalifikācijas prasībām;</w:t>
      </w:r>
    </w:p>
    <w:p w14:paraId="42D6F6A5">
      <w:pPr>
        <w:tabs>
          <w:tab w:val="left" w:pos="360"/>
        </w:tabs>
        <w:suppressAutoHyphens/>
        <w:spacing w:after="0" w:line="360" w:lineRule="auto"/>
        <w:ind w:firstLine="142"/>
        <w:jc w:val="both"/>
        <w:rPr>
          <w:rFonts w:ascii="Times New Roman" w:hAnsi="Times New Roman" w:cs="Times New Roman"/>
          <w:lang w:val="lv-LV"/>
        </w:rPr>
      </w:pPr>
      <w:r>
        <w:rPr>
          <w:rFonts w:ascii="Times New Roman" w:hAnsi="Times New Roman" w:cs="Times New Roman"/>
          <w:lang w:val="lv-LV"/>
        </w:rPr>
        <w:t>b) Publisko iepirkumu likumā noteikto izslēgšanas iemeslu neesību;</w:t>
      </w:r>
    </w:p>
    <w:p w14:paraId="4BC0F6E0">
      <w:pPr>
        <w:tabs>
          <w:tab w:val="left" w:pos="360"/>
        </w:tabs>
        <w:suppressAutoHyphens/>
        <w:spacing w:after="0" w:line="360" w:lineRule="auto"/>
        <w:ind w:firstLine="142"/>
        <w:jc w:val="both"/>
        <w:rPr>
          <w:rFonts w:ascii="Times New Roman" w:hAnsi="Times New Roman" w:cs="Times New Roman"/>
          <w:lang w:val="lv-LV"/>
        </w:rPr>
      </w:pPr>
      <w:r>
        <w:rPr>
          <w:rFonts w:ascii="Times New Roman" w:hAnsi="Times New Roman" w:cs="Times New Roman"/>
          <w:lang w:val="lv-LV"/>
        </w:rPr>
        <w:t>c) piedāvājuma atbilstību noformējuma prasībām;</w:t>
      </w:r>
    </w:p>
    <w:p w14:paraId="44CBCE89">
      <w:pPr>
        <w:tabs>
          <w:tab w:val="left" w:pos="360"/>
        </w:tabs>
        <w:suppressAutoHyphens/>
        <w:spacing w:after="0" w:line="360" w:lineRule="auto"/>
        <w:ind w:firstLine="142"/>
        <w:jc w:val="both"/>
        <w:rPr>
          <w:rFonts w:ascii="Times New Roman" w:hAnsi="Times New Roman" w:cs="Times New Roman"/>
          <w:lang w:val="lv-LV"/>
        </w:rPr>
      </w:pPr>
      <w:r>
        <w:rPr>
          <w:rFonts w:ascii="Times New Roman" w:hAnsi="Times New Roman" w:cs="Times New Roman"/>
          <w:lang w:val="lv-LV"/>
        </w:rPr>
        <w:t>d) Tehniskā piedāvājuma atbilstību Tehniskajai specifikācijai;</w:t>
      </w:r>
    </w:p>
    <w:p w14:paraId="59BF2B78">
      <w:pPr>
        <w:tabs>
          <w:tab w:val="left" w:pos="360"/>
        </w:tabs>
        <w:suppressAutoHyphens/>
        <w:spacing w:after="0" w:line="360" w:lineRule="auto"/>
        <w:ind w:firstLine="142"/>
        <w:jc w:val="both"/>
        <w:rPr>
          <w:rFonts w:ascii="Times New Roman" w:hAnsi="Times New Roman" w:cs="Times New Roman"/>
          <w:lang w:val="lv-LV"/>
        </w:rPr>
      </w:pPr>
      <w:r>
        <w:rPr>
          <w:rFonts w:ascii="Times New Roman" w:hAnsi="Times New Roman" w:cs="Times New Roman"/>
          <w:lang w:val="lv-LV"/>
        </w:rPr>
        <w:t>e) Finanšu piedāvājuma atbilstību Nolikuma prasībām un aritmētisko kļūdu esību;</w:t>
      </w:r>
    </w:p>
    <w:p w14:paraId="15F3824C">
      <w:pPr>
        <w:tabs>
          <w:tab w:val="left" w:pos="360"/>
        </w:tabs>
        <w:suppressAutoHyphens/>
        <w:spacing w:after="0" w:line="360" w:lineRule="auto"/>
        <w:ind w:firstLine="142"/>
        <w:jc w:val="both"/>
        <w:rPr>
          <w:rFonts w:ascii="Times New Roman" w:hAnsi="Times New Roman" w:cs="Times New Roman"/>
          <w:lang w:val="lv-LV"/>
        </w:rPr>
      </w:pPr>
      <w:r>
        <w:rPr>
          <w:rFonts w:ascii="Times New Roman" w:hAnsi="Times New Roman" w:cs="Times New Roman"/>
          <w:lang w:val="lv-LV"/>
        </w:rPr>
        <w:t>f) vai piedāvājums nav nepamatoti lēts;</w:t>
      </w:r>
    </w:p>
    <w:p w14:paraId="39DA6012">
      <w:pPr>
        <w:tabs>
          <w:tab w:val="left" w:pos="360"/>
        </w:tabs>
        <w:suppressAutoHyphens/>
        <w:spacing w:after="0" w:line="360" w:lineRule="auto"/>
        <w:ind w:firstLine="142"/>
        <w:jc w:val="both"/>
        <w:rPr>
          <w:rFonts w:ascii="Times New Roman" w:hAnsi="Times New Roman" w:cs="Times New Roman"/>
          <w:lang w:val="lv-LV"/>
        </w:rPr>
      </w:pPr>
      <w:r>
        <w:rPr>
          <w:rFonts w:ascii="Times New Roman" w:hAnsi="Times New Roman" w:cs="Times New Roman"/>
          <w:lang w:val="lv-LV"/>
        </w:rPr>
        <w:t>g) piedāvājuma novērtējumu atbilstoši Nolikuma 8.6. punktā noteiktajiem saimnieciski visizdevīgākā piedāvājuma izvērtēšanas kritērijiem.</w:t>
      </w:r>
    </w:p>
    <w:p w14:paraId="09A470CD">
      <w:pPr>
        <w:tabs>
          <w:tab w:val="left" w:pos="360"/>
        </w:tabs>
        <w:suppressAutoHyphens/>
        <w:spacing w:after="0" w:line="360" w:lineRule="auto"/>
        <w:ind w:firstLine="142"/>
        <w:jc w:val="both"/>
        <w:rPr>
          <w:rFonts w:ascii="Times New Roman" w:hAnsi="Times New Roman" w:cs="Times New Roman"/>
          <w:lang w:val="lv-LV"/>
        </w:rPr>
      </w:pPr>
      <w:r>
        <w:rPr>
          <w:rFonts w:ascii="Times New Roman" w:hAnsi="Times New Roman" w:cs="Times New Roman"/>
          <w:lang w:val="lv-LV"/>
        </w:rPr>
        <w:t>8.6.6.4. Iepirkuma līguma slēgšanas tiesības vienīgajam Pretendentam var piešķirt tikai tad, ja Pretendents un tā piedāvājums atbilst visām Publisko iepirkumu likumā, Nolikumā un tā pielikumos noteiktajām prasībām.</w:t>
      </w:r>
    </w:p>
    <w:p w14:paraId="04882F49">
      <w:pPr>
        <w:tabs>
          <w:tab w:val="left" w:pos="360"/>
        </w:tabs>
        <w:suppressAutoHyphens/>
        <w:spacing w:after="0" w:line="360" w:lineRule="auto"/>
        <w:ind w:firstLine="142"/>
        <w:jc w:val="both"/>
        <w:rPr>
          <w:rFonts w:ascii="Times New Roman" w:hAnsi="Times New Roman" w:cs="Times New Roman"/>
          <w:lang w:val="lv-LV"/>
        </w:rPr>
      </w:pPr>
      <w:r>
        <w:rPr>
          <w:rFonts w:ascii="Times New Roman" w:hAnsi="Times New Roman" w:cs="Times New Roman"/>
          <w:lang w:val="lv-LV"/>
        </w:rPr>
        <w:t>8.6.6.5. Ja iepirkuma procedūra netiek pārtraukta, Iepirkumu komisija iepirkuma procedūras ziņojumā norāda pamatojumu Publisko iepirkumu likuma 41. panta divpadsmitajā daļā paredzētā izņēmuma piemērošanai.</w:t>
      </w:r>
    </w:p>
    <w:p w14:paraId="778AA994">
      <w:pPr>
        <w:tabs>
          <w:tab w:val="left" w:pos="360"/>
        </w:tabs>
        <w:suppressAutoHyphens/>
        <w:spacing w:after="0" w:line="360" w:lineRule="auto"/>
        <w:ind w:firstLine="142"/>
        <w:jc w:val="both"/>
        <w:rPr>
          <w:rFonts w:ascii="Times New Roman" w:hAnsi="Times New Roman" w:cs="Times New Roman"/>
          <w:lang w:val="lv-LV"/>
        </w:rPr>
      </w:pPr>
    </w:p>
    <w:p w14:paraId="1D989D76">
      <w:pPr>
        <w:tabs>
          <w:tab w:val="left" w:pos="360"/>
        </w:tabs>
        <w:suppressAutoHyphens/>
        <w:spacing w:after="0" w:line="360" w:lineRule="auto"/>
        <w:ind w:firstLine="142"/>
        <w:jc w:val="both"/>
        <w:rPr>
          <w:rFonts w:ascii="Times New Roman" w:hAnsi="Times New Roman" w:cs="Times New Roman"/>
          <w:lang w:val="lv-LV"/>
        </w:rPr>
      </w:pPr>
    </w:p>
    <w:p w14:paraId="02DD73BD">
      <w:pPr>
        <w:pStyle w:val="2"/>
        <w:numPr>
          <w:ilvl w:val="0"/>
          <w:numId w:val="1"/>
        </w:numPr>
        <w:spacing w:before="0" w:after="0"/>
        <w:jc w:val="center"/>
        <w:rPr>
          <w:rFonts w:ascii="Times New Roman" w:hAnsi="Times New Roman" w:cs="Times New Roman"/>
          <w:b/>
          <w:bCs/>
          <w:color w:val="000000" w:themeColor="text1"/>
          <w:sz w:val="28"/>
          <w:szCs w:val="28"/>
          <w:lang w:val="lv-LV"/>
          <w14:textFill>
            <w14:solidFill>
              <w14:schemeClr w14:val="tx1"/>
            </w14:solidFill>
          </w14:textFill>
        </w:rPr>
      </w:pPr>
      <w:bookmarkStart w:id="10" w:name="_Toc235703255"/>
      <w:r>
        <w:rPr>
          <w:rFonts w:ascii="Times New Roman" w:hAnsi="Times New Roman" w:cs="Times New Roman"/>
          <w:b/>
          <w:bCs/>
          <w:color w:val="000000" w:themeColor="text1"/>
          <w:sz w:val="28"/>
          <w:szCs w:val="28"/>
          <w:lang w:val="lv-LV"/>
          <w14:textFill>
            <w14:solidFill>
              <w14:schemeClr w14:val="tx1"/>
            </w14:solidFill>
          </w14:textFill>
        </w:rPr>
        <w:t>Iepirkuma līgums</w:t>
      </w:r>
      <w:bookmarkEnd w:id="10"/>
    </w:p>
    <w:p w14:paraId="04ADD229">
      <w:pPr>
        <w:spacing w:after="0"/>
        <w:jc w:val="both"/>
        <w:rPr>
          <w:rFonts w:ascii="Times New Roman" w:hAnsi="Times New Roman" w:cs="Times New Roman"/>
          <w:lang w:val="lv-LV"/>
        </w:rPr>
      </w:pPr>
    </w:p>
    <w:p w14:paraId="1B6420BA">
      <w:pPr>
        <w:spacing w:after="0" w:line="360" w:lineRule="auto"/>
        <w:jc w:val="both"/>
        <w:rPr>
          <w:rFonts w:ascii="Times New Roman" w:hAnsi="Times New Roman" w:cs="Times New Roman"/>
          <w:lang w:val="lv-LV"/>
        </w:rPr>
      </w:pPr>
      <w:r>
        <w:rPr>
          <w:rFonts w:ascii="Times New Roman" w:hAnsi="Times New Roman" w:cs="Times New Roman"/>
          <w:lang w:val="lv-LV"/>
        </w:rPr>
        <w:t>9.1. Pasūtītājs slēdz Iepirkuma līgumu ar Iepirkumu komisijas izraudzīto. Pretendentam, kurš izraudzīts par Iepirkuma uzvarētāju, 10 (desmit) darbdienu laikā pēc paziņojuma saņemšanas jānoslēdz Iepirkuma līgums ar Pasūtītāju.</w:t>
      </w:r>
    </w:p>
    <w:p w14:paraId="6B484205">
      <w:pPr>
        <w:spacing w:after="0" w:line="360" w:lineRule="auto"/>
        <w:jc w:val="both"/>
        <w:rPr>
          <w:rFonts w:ascii="Times New Roman" w:hAnsi="Times New Roman" w:cs="Times New Roman"/>
          <w:lang w:val="lv-LV"/>
        </w:rPr>
      </w:pPr>
      <w:r>
        <w:rPr>
          <w:rFonts w:ascii="Times New Roman" w:hAnsi="Times New Roman" w:cs="Times New Roman"/>
          <w:lang w:val="lv-LV"/>
        </w:rPr>
        <w:t>9.2. Ja Pretendents, kuram piešķirtas Iepirkuma līguma slēgšanas tiesības, atsakās slēgt Iepirkuma līgumu vai Nolikumā noteiktajā termiņā neiesniedz parakstītu Iepirkuma līgumu, Iepirkumu komisija ir tiesīga pieņemt lēmumu piešķirt Iepirkuma līguma slēgšanas tiesības nākamajam Pretendentam, kura piedāvājums atbilstoši Nolikuma 8.6. punktā noteiktajai vērtēšanas kārtībai ir ieguvis nākamo augstāko kopējo punktu skaitu un atbilst visām Nolikuma prasībām.</w:t>
      </w:r>
    </w:p>
    <w:p w14:paraId="4E19AF31">
      <w:pPr>
        <w:spacing w:after="0" w:line="360" w:lineRule="auto"/>
        <w:jc w:val="both"/>
        <w:rPr>
          <w:rFonts w:ascii="Times New Roman" w:hAnsi="Times New Roman" w:cs="Times New Roman"/>
          <w:lang w:val="lv-LV"/>
        </w:rPr>
      </w:pPr>
      <w:r>
        <w:rPr>
          <w:rFonts w:ascii="Times New Roman" w:hAnsi="Times New Roman" w:cs="Times New Roman"/>
          <w:lang w:val="lv-LV"/>
        </w:rPr>
        <w:t>9.3. Pirms lēmuma pieņemšanas par Iepirkuma līguma slēgšanas tiesību piešķiršanu nākamajam Pretendentam, kura piedāvājums ieguvis nākamo augstāko kopējo punktu skaitu, Iepirkumu komisija izvērtē, vai šis Pretendents nav uzskatāms par vienu tirgus dalībnieku kopā ar sākotnēji izraudzīto Pretendentu, kurš atteicies slēgt Iepirkuma līgumu. Ja nepieciešams, Iepirkumu komisija pieprasa nākamajam Pretendentam skaidrojumu un pierādījumus, kas apliecina, ka tas nav uzskatāms par vienu tirgus dalībnieku kopā ar sākotnēji izraudzīto Pretendentu. Ja arī nākamais Pretendents atsakās slēgt Iepirkuma līgumu vai nenoslēdz to noteiktajā termiņā, Iepirkumu komisija pieņem lēmumu pārtraukt iepirkuma procedūru, neizvēloties nevienu piedāvājumu.</w:t>
      </w:r>
    </w:p>
    <w:p w14:paraId="4A62C64A">
      <w:pPr>
        <w:spacing w:after="0" w:line="360" w:lineRule="auto"/>
        <w:jc w:val="both"/>
        <w:rPr>
          <w:rFonts w:ascii="Times New Roman" w:hAnsi="Times New Roman" w:cs="Times New Roman"/>
          <w:lang w:val="lv-LV"/>
        </w:rPr>
      </w:pPr>
      <w:r>
        <w:rPr>
          <w:rFonts w:ascii="Times New Roman" w:hAnsi="Times New Roman" w:cs="Times New Roman"/>
          <w:lang w:val="lv-LV"/>
        </w:rPr>
        <w:t>9.4. Iepirkuma līgums tiks slēgts saskaņā ar pretendenta Finanšu piedāvājumā norādītajām cenām.</w:t>
      </w:r>
    </w:p>
    <w:p w14:paraId="4A5DD668">
      <w:pPr>
        <w:spacing w:after="0" w:line="360" w:lineRule="auto"/>
        <w:jc w:val="both"/>
        <w:rPr>
          <w:rFonts w:ascii="Times New Roman" w:hAnsi="Times New Roman" w:cs="Times New Roman"/>
          <w:lang w:val="lv-LV"/>
        </w:rPr>
      </w:pPr>
      <w:r>
        <w:rPr>
          <w:rFonts w:ascii="Times New Roman" w:hAnsi="Times New Roman" w:cs="Times New Roman"/>
          <w:lang w:val="lv-LV"/>
        </w:rPr>
        <w:t>9.5. Gadījumā, ja Pretendents Iepirkuma procedūras rezultātā tiek atzīts par uzvarētāju, tam visu līgumā un piedāvājumā iekļauto darbu realizācija ir jānodrošina ar Pretendenta piedāvājumā norādītajiem speciālistiem. Piedāvātos speciālistus var mainīt tikai ar līdzvērtīgiem un tikai ar Pasūtītāja rakstisku atļauju.</w:t>
      </w:r>
    </w:p>
    <w:p w14:paraId="0CF71F3D">
      <w:pPr>
        <w:spacing w:after="0" w:line="360" w:lineRule="auto"/>
        <w:jc w:val="both"/>
        <w:rPr>
          <w:rFonts w:ascii="Times New Roman" w:hAnsi="Times New Roman" w:cs="Times New Roman"/>
          <w:lang w:val="lv-LV"/>
        </w:rPr>
      </w:pPr>
    </w:p>
    <w:p w14:paraId="7F761743">
      <w:pPr>
        <w:pStyle w:val="2"/>
        <w:numPr>
          <w:ilvl w:val="0"/>
          <w:numId w:val="1"/>
        </w:numPr>
        <w:spacing w:before="0" w:after="0" w:line="360" w:lineRule="auto"/>
        <w:ind w:left="0"/>
        <w:jc w:val="center"/>
        <w:rPr>
          <w:rFonts w:ascii="Times New Roman" w:hAnsi="Times New Roman" w:cs="Times New Roman"/>
          <w:b/>
          <w:bCs/>
          <w:color w:val="000000" w:themeColor="text1"/>
          <w:sz w:val="28"/>
          <w:szCs w:val="28"/>
          <w:lang w:val="lv-LV"/>
          <w14:textFill>
            <w14:solidFill>
              <w14:schemeClr w14:val="tx1"/>
            </w14:solidFill>
          </w14:textFill>
        </w:rPr>
      </w:pPr>
      <w:bookmarkStart w:id="11" w:name="_Toc235703256"/>
      <w:r>
        <w:rPr>
          <w:rFonts w:ascii="Times New Roman" w:hAnsi="Times New Roman" w:cs="Times New Roman"/>
          <w:b/>
          <w:bCs/>
          <w:color w:val="000000" w:themeColor="text1"/>
          <w:sz w:val="28"/>
          <w:szCs w:val="28"/>
          <w:lang w:val="lv-LV"/>
          <w14:textFill>
            <w14:solidFill>
              <w14:schemeClr w14:val="tx1"/>
            </w14:solidFill>
          </w14:textFill>
        </w:rPr>
        <w:t>Apakšuzņēmēju nomaiņas kārtība</w:t>
      </w:r>
      <w:bookmarkEnd w:id="11"/>
    </w:p>
    <w:p w14:paraId="706756B4">
      <w:pPr>
        <w:spacing w:after="0" w:line="360" w:lineRule="auto"/>
        <w:jc w:val="both"/>
        <w:rPr>
          <w:rFonts w:ascii="Times New Roman" w:hAnsi="Times New Roman" w:cs="Times New Roman"/>
          <w:lang w:val="lv-LV"/>
        </w:rPr>
      </w:pPr>
    </w:p>
    <w:p w14:paraId="477630D9">
      <w:pPr>
        <w:spacing w:after="0" w:line="360" w:lineRule="auto"/>
        <w:jc w:val="both"/>
        <w:rPr>
          <w:rFonts w:ascii="Times New Roman" w:hAnsi="Times New Roman" w:cs="Times New Roman"/>
          <w:lang w:val="lv-LV"/>
        </w:rPr>
      </w:pPr>
      <w:r>
        <w:rPr>
          <w:rFonts w:ascii="Times New Roman" w:hAnsi="Times New Roman" w:cs="Times New Roman"/>
          <w:lang w:val="lv-LV"/>
        </w:rPr>
        <w:t>10.1. Apakšuzņēmēju, kuru Pretendents iesaistījis līguma izpildē un par kuru Iepirkumā sniedzis informāciju Pasūtītājam un kura kvalifikācijas atbilstību izvirzītajām prasībām Pasūtītājs ir vērtējis Iepirkuma procedūrā, kā arī apakšuzņēmējus, uz kuru Iepirkumā Pretendents balstījies, lai apliecinātu savas kvalifikācijas atbilstību un Iepirkuma iesniegtajos dokumentos, pēc līguma noslēgšanas var nomainīt tikai ar Pasūtītāja rakstveida piekrišanu, ievērojot līguma nosacījumus.</w:t>
      </w:r>
    </w:p>
    <w:p w14:paraId="1C3CDF9B">
      <w:pPr>
        <w:spacing w:after="0" w:line="360" w:lineRule="auto"/>
        <w:jc w:val="both"/>
        <w:rPr>
          <w:rFonts w:ascii="Times New Roman" w:hAnsi="Times New Roman" w:cs="Times New Roman"/>
          <w:lang w:val="lv-LV"/>
        </w:rPr>
      </w:pPr>
      <w:r>
        <w:rPr>
          <w:rFonts w:ascii="Times New Roman" w:hAnsi="Times New Roman" w:cs="Times New Roman"/>
          <w:lang w:val="lv-LV"/>
        </w:rPr>
        <w:t>10.2. Pasūtītājam ir pamatojums nesaskaņot vai nepiekrist apakšuzņēmēju nomaiņai, ja pastāv kāds no šādiem nosacījumiem:</w:t>
      </w:r>
    </w:p>
    <w:p w14:paraId="665B10E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10.2.1. Pretendenta piedāvātais apakšuzņēmējs neatbilst Iepirkumā noteiktajām prasībām, kas attiecas uz apakšuzņēmējiem;</w:t>
      </w:r>
    </w:p>
    <w:p w14:paraId="4EA54936">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10.2.2. Ja Pretendents nomaina apakšuzņēmēju, uz kura iespējām Iepirkuma procedūrā pretendents balstījies, lai apliecinātu savas kvalifikācijas atbilstību Iepirkuma prasībām, un piedāvātajam apakšuzņēmējam nav vismaz tāda pati kvalifikācija, uz kādu Iepirkumā Pretendents atsaucies, apliecinot savu atbilstību Iepirkuma procedūrā noteiktajām prasībām.</w:t>
      </w:r>
    </w:p>
    <w:p w14:paraId="35F672C9">
      <w:pPr>
        <w:spacing w:after="0" w:line="360" w:lineRule="auto"/>
        <w:jc w:val="both"/>
        <w:rPr>
          <w:rFonts w:ascii="Times New Roman" w:hAnsi="Times New Roman" w:cs="Times New Roman"/>
          <w:lang w:val="lv-LV"/>
        </w:rPr>
      </w:pPr>
      <w:r>
        <w:rPr>
          <w:rFonts w:ascii="Times New Roman" w:hAnsi="Times New Roman" w:cs="Times New Roman"/>
          <w:lang w:val="lv-LV"/>
        </w:rPr>
        <w:t>10.3. Pasūtītājs saskaņo apakšuzņēmēju nomaiņu, ja Pretendents par to paziņojis Pasūtītājam un saņēmis Pasūtītāja rakstveida piekrišanu apakšuzņēmēja nomaiņai. Pasūtītājs saskaņo apakšuzņēmēja nomaiņu, ja piedāvātais apakšuzņēmējs atbilst Iepirkumā izvirzītajiem kritērijiem attiecībā uz Pretendentu.</w:t>
      </w:r>
    </w:p>
    <w:p w14:paraId="4A9E5E83">
      <w:pPr>
        <w:spacing w:after="0" w:line="360" w:lineRule="auto"/>
        <w:jc w:val="both"/>
        <w:rPr>
          <w:rFonts w:ascii="Times New Roman" w:hAnsi="Times New Roman" w:cs="Times New Roman"/>
          <w:lang w:val="lv-LV"/>
        </w:rPr>
      </w:pPr>
      <w:r>
        <w:rPr>
          <w:rFonts w:ascii="Times New Roman" w:hAnsi="Times New Roman" w:cs="Times New Roman"/>
          <w:lang w:val="lv-LV"/>
        </w:rPr>
        <w:t>10.4. Pārbaudot apakšuzņēmēja atbilstību, Pasūtītājs piemēro Iepirkuma Nolikumā minētos izslēgšanas nosacījumus.</w:t>
      </w:r>
    </w:p>
    <w:p w14:paraId="389CAB18">
      <w:pPr>
        <w:spacing w:after="0" w:line="360" w:lineRule="auto"/>
        <w:jc w:val="both"/>
        <w:rPr>
          <w:rFonts w:ascii="Times New Roman" w:hAnsi="Times New Roman" w:cs="Times New Roman"/>
          <w:lang w:val="lv-LV"/>
        </w:rPr>
      </w:pPr>
      <w:r>
        <w:rPr>
          <w:rFonts w:ascii="Times New Roman" w:hAnsi="Times New Roman" w:cs="Times New Roman"/>
          <w:lang w:val="lv-LV"/>
        </w:rPr>
        <w:t>10.5. Pasūtītājs pieņem lēmumu atļaut vai atteikt Pretendentam apakšuzņēmēju nomaiņu iespējami īsā laikā, bet ne vēlāk kā 5 (piecu) darbdienu laikā pēc tam, kad saņēmis visu atbilstošo informāciju un dokumentus, kas nepieciešami lēmuma pieņemšanai.</w:t>
      </w:r>
    </w:p>
    <w:p w14:paraId="6D5C99F3">
      <w:pPr>
        <w:spacing w:after="0" w:line="360" w:lineRule="auto"/>
        <w:jc w:val="both"/>
        <w:rPr>
          <w:rFonts w:ascii="Times New Roman" w:hAnsi="Times New Roman" w:cs="Times New Roman"/>
          <w:lang w:val="lv-LV"/>
        </w:rPr>
      </w:pPr>
    </w:p>
    <w:p w14:paraId="148ADE24">
      <w:pPr>
        <w:pStyle w:val="2"/>
        <w:numPr>
          <w:ilvl w:val="0"/>
          <w:numId w:val="1"/>
        </w:numPr>
        <w:spacing w:before="0" w:after="0"/>
        <w:ind w:left="0"/>
        <w:jc w:val="center"/>
        <w:rPr>
          <w:rFonts w:ascii="Times New Roman" w:hAnsi="Times New Roman" w:cs="Times New Roman"/>
          <w:b/>
          <w:bCs/>
          <w:color w:val="000000" w:themeColor="text1"/>
          <w:sz w:val="28"/>
          <w:szCs w:val="28"/>
          <w:lang w:val="lv-LV"/>
          <w14:textFill>
            <w14:solidFill>
              <w14:schemeClr w14:val="tx1"/>
            </w14:solidFill>
          </w14:textFill>
        </w:rPr>
      </w:pPr>
      <w:bookmarkStart w:id="12" w:name="_Toc235703257"/>
      <w:r>
        <w:rPr>
          <w:rFonts w:ascii="Times New Roman" w:hAnsi="Times New Roman" w:cs="Times New Roman"/>
          <w:b/>
          <w:bCs/>
          <w:color w:val="000000" w:themeColor="text1"/>
          <w:sz w:val="28"/>
          <w:szCs w:val="28"/>
          <w:lang w:val="lv-LV"/>
          <w14:textFill>
            <w14:solidFill>
              <w14:schemeClr w14:val="tx1"/>
            </w14:solidFill>
          </w14:textFill>
        </w:rPr>
        <w:t>Citi nosacījumi</w:t>
      </w:r>
      <w:bookmarkEnd w:id="12"/>
    </w:p>
    <w:p w14:paraId="2E78BD0F">
      <w:pPr>
        <w:spacing w:after="0"/>
        <w:rPr>
          <w:lang w:val="lv-LV"/>
        </w:rPr>
      </w:pPr>
    </w:p>
    <w:p w14:paraId="68F9A1D8">
      <w:pPr>
        <w:spacing w:after="0" w:line="360" w:lineRule="auto"/>
        <w:jc w:val="both"/>
        <w:rPr>
          <w:rFonts w:ascii="Times New Roman" w:hAnsi="Times New Roman" w:cs="Times New Roman"/>
          <w:lang w:val="lv-LV"/>
        </w:rPr>
      </w:pPr>
      <w:r>
        <w:rPr>
          <w:rFonts w:ascii="Times New Roman" w:hAnsi="Times New Roman" w:cs="Times New Roman"/>
          <w:lang w:val="lv-LV"/>
        </w:rPr>
        <w:t xml:space="preserve">11.1. Līguma darbības laikā pretendenta piedāvājumā norādītās cenas netiek paaugstinātas. </w:t>
      </w:r>
    </w:p>
    <w:p w14:paraId="4BC2BA8D">
      <w:pPr>
        <w:spacing w:after="0" w:line="360" w:lineRule="auto"/>
        <w:jc w:val="both"/>
        <w:rPr>
          <w:rFonts w:ascii="Times New Roman" w:hAnsi="Times New Roman" w:cs="Times New Roman"/>
          <w:lang w:val="lv-LV"/>
        </w:rPr>
      </w:pPr>
      <w:r>
        <w:rPr>
          <w:rFonts w:ascii="Times New Roman" w:hAnsi="Times New Roman" w:cs="Times New Roman"/>
          <w:lang w:val="lv-LV"/>
        </w:rPr>
        <w:t>11.2. Pretendents var iesniegt jautājumus par Nolikumu vai Iepirkuma priekšmetu nosūtot informāciju elektroniski, to iesniedzot EIS e-konkursu apakšsistēmā, saskaņā ar Likuma 36. panta otrās daļas nosacījumiem. Korespondences nosūtīšanas adrese: Nolikuma 1.2.apakšpunktā minētā adrese un 1.3.apakšpunktā minētā kontaktpersona.</w:t>
      </w:r>
    </w:p>
    <w:p w14:paraId="087BA052">
      <w:pPr>
        <w:spacing w:after="0" w:line="360" w:lineRule="auto"/>
        <w:jc w:val="both"/>
        <w:rPr>
          <w:rFonts w:ascii="Times New Roman" w:hAnsi="Times New Roman" w:cs="Times New Roman"/>
          <w:lang w:val="lv-LV"/>
        </w:rPr>
      </w:pPr>
      <w:r>
        <w:rPr>
          <w:rFonts w:ascii="Times New Roman" w:hAnsi="Times New Roman" w:cs="Times New Roman"/>
          <w:lang w:val="lv-LV"/>
        </w:rPr>
        <w:t>11.3. Nolikums izstrādāts saskaņā ar Likumu.</w:t>
      </w:r>
    </w:p>
    <w:p w14:paraId="09C22F40">
      <w:pPr>
        <w:spacing w:after="0" w:line="360" w:lineRule="auto"/>
        <w:jc w:val="both"/>
        <w:rPr>
          <w:rFonts w:ascii="Times New Roman" w:hAnsi="Times New Roman" w:cs="Times New Roman"/>
          <w:lang w:val="lv-LV"/>
        </w:rPr>
      </w:pPr>
      <w:r>
        <w:rPr>
          <w:rFonts w:ascii="Times New Roman" w:hAnsi="Times New Roman" w:cs="Times New Roman"/>
          <w:lang w:val="lv-LV"/>
        </w:rPr>
        <w:t>11.4. Citas saistības attiecībā uz Iepirkuma norisi, kas nav atrunātas Nolikumā, nosakāmas saskaņā ar Latvijas Republikas spēkā esošiem normatīvajiem aktiem.</w:t>
      </w:r>
    </w:p>
    <w:p w14:paraId="799B6C55">
      <w:pPr>
        <w:spacing w:after="0" w:line="360" w:lineRule="auto"/>
        <w:jc w:val="both"/>
        <w:rPr>
          <w:rFonts w:ascii="Times New Roman" w:hAnsi="Times New Roman" w:cs="Times New Roman"/>
          <w:lang w:val="lv-LV"/>
        </w:rPr>
      </w:pPr>
    </w:p>
    <w:p w14:paraId="5A980106">
      <w:pPr>
        <w:pStyle w:val="2"/>
        <w:numPr>
          <w:ilvl w:val="0"/>
          <w:numId w:val="1"/>
        </w:numPr>
        <w:spacing w:before="0" w:after="0"/>
        <w:jc w:val="center"/>
        <w:rPr>
          <w:rFonts w:ascii="Times New Roman" w:hAnsi="Times New Roman" w:cs="Times New Roman"/>
          <w:b/>
          <w:bCs/>
          <w:color w:val="000000" w:themeColor="text1"/>
          <w:sz w:val="28"/>
          <w:szCs w:val="28"/>
          <w:lang w:val="lv-LV"/>
          <w14:textFill>
            <w14:solidFill>
              <w14:schemeClr w14:val="tx1"/>
            </w14:solidFill>
          </w14:textFill>
        </w:rPr>
      </w:pPr>
      <w:bookmarkStart w:id="13" w:name="_Toc235703258"/>
      <w:r>
        <w:rPr>
          <w:rFonts w:ascii="Times New Roman" w:hAnsi="Times New Roman" w:cs="Times New Roman"/>
          <w:b/>
          <w:bCs/>
          <w:color w:val="000000" w:themeColor="text1"/>
          <w:sz w:val="28"/>
          <w:szCs w:val="28"/>
          <w:lang w:val="lv-LV"/>
          <w14:textFill>
            <w14:solidFill>
              <w14:schemeClr w14:val="tx1"/>
            </w14:solidFill>
          </w14:textFill>
        </w:rPr>
        <w:t>Pielikumi</w:t>
      </w:r>
      <w:bookmarkEnd w:id="13"/>
    </w:p>
    <w:p w14:paraId="146C1EAC">
      <w:pPr>
        <w:spacing w:after="0"/>
        <w:jc w:val="both"/>
        <w:rPr>
          <w:rFonts w:ascii="Times New Roman" w:hAnsi="Times New Roman" w:cs="Times New Roman"/>
          <w:color w:val="000000" w:themeColor="text1"/>
          <w:lang w:val="lv-LV"/>
          <w14:textFill>
            <w14:solidFill>
              <w14:schemeClr w14:val="tx1"/>
            </w14:solidFill>
          </w14:textFill>
        </w:rPr>
      </w:pPr>
    </w:p>
    <w:p w14:paraId="12E157A5">
      <w:pPr>
        <w:spacing w:after="0" w:line="360" w:lineRule="auto"/>
        <w:jc w:val="both"/>
        <w:rPr>
          <w:rFonts w:ascii="Times New Roman" w:hAnsi="Times New Roman" w:cs="Times New Roman"/>
          <w:color w:val="000000" w:themeColor="text1"/>
          <w:lang w:val="lv-LV"/>
          <w14:textFill>
            <w14:solidFill>
              <w14:schemeClr w14:val="tx1"/>
            </w14:solidFill>
          </w14:textFill>
        </w:rPr>
      </w:pPr>
      <w:r>
        <w:rPr>
          <w:rFonts w:ascii="Times New Roman" w:hAnsi="Times New Roman" w:cs="Times New Roman"/>
          <w:color w:val="000000" w:themeColor="text1"/>
          <w:lang w:val="lv-LV"/>
          <w14:textFill>
            <w14:solidFill>
              <w14:schemeClr w14:val="tx1"/>
            </w14:solidFill>
          </w14:textFill>
        </w:rPr>
        <w:t>1. pielikums – Tehniskā specifikācija.</w:t>
      </w:r>
    </w:p>
    <w:p w14:paraId="69EC2064">
      <w:pPr>
        <w:spacing w:after="0" w:line="360" w:lineRule="auto"/>
        <w:jc w:val="both"/>
        <w:rPr>
          <w:rFonts w:ascii="Times New Roman" w:hAnsi="Times New Roman" w:cs="Times New Roman"/>
          <w:color w:val="000000" w:themeColor="text1"/>
          <w:lang w:val="lv-LV"/>
          <w14:textFill>
            <w14:solidFill>
              <w14:schemeClr w14:val="tx1"/>
            </w14:solidFill>
          </w14:textFill>
        </w:rPr>
      </w:pPr>
      <w:r>
        <w:rPr>
          <w:rFonts w:ascii="Times New Roman" w:hAnsi="Times New Roman" w:cs="Times New Roman"/>
          <w:color w:val="000000" w:themeColor="text1"/>
          <w:lang w:val="lv-LV"/>
          <w14:textFill>
            <w14:solidFill>
              <w14:schemeClr w14:val="tx1"/>
            </w14:solidFill>
          </w14:textFill>
        </w:rPr>
        <w:t>2. pielikums – Pieteikums.</w:t>
      </w:r>
    </w:p>
    <w:p w14:paraId="22A39929">
      <w:pPr>
        <w:spacing w:after="0" w:line="360" w:lineRule="auto"/>
        <w:jc w:val="both"/>
        <w:rPr>
          <w:rFonts w:ascii="Times New Roman" w:hAnsi="Times New Roman" w:cs="Times New Roman"/>
          <w:color w:val="000000" w:themeColor="text1"/>
          <w:lang w:val="lv-LV"/>
          <w14:textFill>
            <w14:solidFill>
              <w14:schemeClr w14:val="tx1"/>
            </w14:solidFill>
          </w14:textFill>
        </w:rPr>
      </w:pPr>
      <w:r>
        <w:rPr>
          <w:rFonts w:ascii="Times New Roman" w:hAnsi="Times New Roman" w:cs="Times New Roman"/>
          <w:color w:val="000000" w:themeColor="text1"/>
          <w:lang w:val="lv-LV"/>
          <w14:textFill>
            <w14:solidFill>
              <w14:schemeClr w14:val="tx1"/>
            </w14:solidFill>
          </w14:textFill>
        </w:rPr>
        <w:t>3. pielikums – Apliecinājums par neatkarīgi izstrādātu piedāvājumu</w:t>
      </w:r>
    </w:p>
    <w:p w14:paraId="793784E5">
      <w:pPr>
        <w:spacing w:after="0" w:line="360" w:lineRule="auto"/>
        <w:jc w:val="both"/>
        <w:rPr>
          <w:rFonts w:ascii="Times New Roman" w:hAnsi="Times New Roman" w:cs="Times New Roman"/>
          <w:color w:val="000000" w:themeColor="text1"/>
          <w:lang w:val="lv-LV"/>
          <w14:textFill>
            <w14:solidFill>
              <w14:schemeClr w14:val="tx1"/>
            </w14:solidFill>
          </w14:textFill>
        </w:rPr>
      </w:pPr>
      <w:r>
        <w:rPr>
          <w:rFonts w:ascii="Times New Roman" w:hAnsi="Times New Roman" w:cs="Times New Roman"/>
          <w:color w:val="000000" w:themeColor="text1"/>
          <w:lang w:val="lv-LV"/>
          <w14:textFill>
            <w14:solidFill>
              <w14:schemeClr w14:val="tx1"/>
            </w14:solidFill>
          </w14:textFill>
        </w:rPr>
        <w:t>4. pielikums – Informācija par pieredzi.</w:t>
      </w:r>
    </w:p>
    <w:p w14:paraId="61F23E93">
      <w:pPr>
        <w:spacing w:after="0" w:line="360" w:lineRule="auto"/>
        <w:jc w:val="both"/>
        <w:rPr>
          <w:rFonts w:ascii="Times New Roman" w:hAnsi="Times New Roman" w:cs="Times New Roman"/>
          <w:color w:val="000000" w:themeColor="text1"/>
          <w:lang w:val="lv-LV"/>
          <w14:textFill>
            <w14:solidFill>
              <w14:schemeClr w14:val="tx1"/>
            </w14:solidFill>
          </w14:textFill>
        </w:rPr>
      </w:pPr>
      <w:r>
        <w:rPr>
          <w:rFonts w:ascii="Times New Roman" w:hAnsi="Times New Roman" w:cs="Times New Roman"/>
          <w:color w:val="000000" w:themeColor="text1"/>
          <w:lang w:val="lv-LV"/>
          <w14:textFill>
            <w14:solidFill>
              <w14:schemeClr w14:val="tx1"/>
            </w14:solidFill>
          </w14:textFill>
        </w:rPr>
        <w:t>5. pielikums – Informācija par apakšuzņēmumiem</w:t>
      </w:r>
    </w:p>
    <w:p w14:paraId="25577122">
      <w:pPr>
        <w:spacing w:after="0" w:line="360" w:lineRule="auto"/>
        <w:jc w:val="both"/>
        <w:rPr>
          <w:rFonts w:ascii="Times New Roman" w:hAnsi="Times New Roman" w:cs="Times New Roman"/>
          <w:color w:val="000000" w:themeColor="text1"/>
          <w:lang w:val="lv-LV"/>
          <w14:textFill>
            <w14:solidFill>
              <w14:schemeClr w14:val="tx1"/>
            </w14:solidFill>
          </w14:textFill>
        </w:rPr>
      </w:pPr>
      <w:r>
        <w:rPr>
          <w:rFonts w:ascii="Times New Roman" w:hAnsi="Times New Roman" w:cs="Times New Roman"/>
          <w:color w:val="000000" w:themeColor="text1"/>
          <w:lang w:val="lv-LV"/>
          <w14:textFill>
            <w14:solidFill>
              <w14:schemeClr w14:val="tx1"/>
            </w14:solidFill>
          </w14:textFill>
        </w:rPr>
        <w:t>6. pielikums – Apakšuzņēmēju apliecinājums</w:t>
      </w:r>
    </w:p>
    <w:p w14:paraId="269BF620">
      <w:pPr>
        <w:spacing w:after="0" w:line="360" w:lineRule="auto"/>
        <w:jc w:val="both"/>
        <w:rPr>
          <w:rFonts w:ascii="Times New Roman" w:hAnsi="Times New Roman" w:cs="Times New Roman"/>
          <w:color w:val="000000" w:themeColor="text1"/>
          <w:lang w:val="lv-LV"/>
          <w14:textFill>
            <w14:solidFill>
              <w14:schemeClr w14:val="tx1"/>
            </w14:solidFill>
          </w14:textFill>
        </w:rPr>
      </w:pPr>
      <w:r>
        <w:rPr>
          <w:rFonts w:ascii="Times New Roman" w:hAnsi="Times New Roman" w:cs="Times New Roman"/>
          <w:color w:val="000000" w:themeColor="text1"/>
          <w:lang w:val="lv-LV"/>
          <w14:textFill>
            <w14:solidFill>
              <w14:schemeClr w14:val="tx1"/>
            </w14:solidFill>
          </w14:textFill>
        </w:rPr>
        <w:t>7. pielikums – Finanšu piedāvājums</w:t>
      </w:r>
    </w:p>
    <w:p w14:paraId="483DFC1F">
      <w:pPr>
        <w:spacing w:after="0" w:line="360" w:lineRule="auto"/>
        <w:jc w:val="both"/>
        <w:rPr>
          <w:rFonts w:ascii="Times New Roman" w:hAnsi="Times New Roman" w:cs="Times New Roman"/>
          <w:color w:val="000000" w:themeColor="text1"/>
          <w:lang w:val="lv-LV"/>
          <w14:textFill>
            <w14:solidFill>
              <w14:schemeClr w14:val="tx1"/>
            </w14:solidFill>
          </w14:textFill>
        </w:rPr>
      </w:pPr>
      <w:r>
        <w:rPr>
          <w:rFonts w:ascii="Times New Roman" w:hAnsi="Times New Roman" w:cs="Times New Roman"/>
          <w:color w:val="000000" w:themeColor="text1"/>
          <w:lang w:val="lv-LV"/>
          <w14:textFill>
            <w14:solidFill>
              <w14:schemeClr w14:val="tx1"/>
            </w14:solidFill>
          </w14:textFill>
        </w:rPr>
        <w:t>8. pielikums – Līguma projekts</w:t>
      </w:r>
    </w:p>
    <w:p w14:paraId="0CFE0A94">
      <w:pPr>
        <w:spacing w:after="0" w:line="360" w:lineRule="auto"/>
        <w:jc w:val="both"/>
        <w:rPr>
          <w:rFonts w:ascii="Times New Roman" w:hAnsi="Times New Roman" w:cs="Times New Roman"/>
          <w:color w:val="000000" w:themeColor="text1"/>
          <w:lang w:val="lv-LV"/>
          <w14:textFill>
            <w14:solidFill>
              <w14:schemeClr w14:val="tx1"/>
            </w14:solidFill>
          </w14:textFill>
        </w:rPr>
      </w:pPr>
    </w:p>
    <w:p w14:paraId="08E89707">
      <w:pPr>
        <w:rPr>
          <w:lang w:val="lv-LV"/>
        </w:rPr>
      </w:pPr>
    </w:p>
    <w:p w14:paraId="5DF6910D">
      <w:pPr>
        <w:rPr>
          <w:lang w:val="lv-LV"/>
        </w:rPr>
      </w:pPr>
    </w:p>
    <w:p w14:paraId="572791B0">
      <w:pPr>
        <w:rPr>
          <w:lang w:val="lv-LV"/>
        </w:rPr>
      </w:pPr>
    </w:p>
    <w:p w14:paraId="240CF158">
      <w:pPr>
        <w:rPr>
          <w:lang w:val="lv-LV"/>
        </w:rPr>
      </w:pPr>
    </w:p>
    <w:p w14:paraId="1F937FBB">
      <w:pPr>
        <w:rPr>
          <w:lang w:val="lv-LV"/>
        </w:rPr>
      </w:pPr>
    </w:p>
    <w:p w14:paraId="7897FCB3">
      <w:pPr>
        <w:rPr>
          <w:lang w:val="lv-LV"/>
        </w:rPr>
      </w:pPr>
    </w:p>
    <w:p w14:paraId="79C66213">
      <w:pPr>
        <w:tabs>
          <w:tab w:val="left" w:pos="360"/>
        </w:tabs>
        <w:suppressAutoHyphens/>
        <w:spacing w:after="0" w:line="360" w:lineRule="auto"/>
        <w:jc w:val="both"/>
        <w:rPr>
          <w:rFonts w:ascii="Times New Roman" w:hAnsi="Times New Roman" w:cs="Times New Roman"/>
          <w:lang w:val="lv-LV"/>
        </w:rPr>
      </w:pPr>
    </w:p>
    <w:p w14:paraId="4AAD6744">
      <w:pPr>
        <w:spacing w:after="0" w:line="360" w:lineRule="auto"/>
        <w:jc w:val="both"/>
        <w:rPr>
          <w:rFonts w:ascii="Times New Roman" w:hAnsi="Times New Roman" w:cs="Times New Roman"/>
          <w:lang w:val="lv-LV"/>
        </w:rPr>
      </w:pPr>
    </w:p>
    <w:p w14:paraId="795F78FC">
      <w:pPr>
        <w:spacing w:after="0" w:line="360" w:lineRule="auto"/>
        <w:jc w:val="both"/>
        <w:rPr>
          <w:rFonts w:ascii="Times New Roman" w:hAnsi="Times New Roman" w:cs="Times New Roman"/>
          <w:lang w:val="lv-LV"/>
        </w:rPr>
      </w:pPr>
    </w:p>
    <w:p w14:paraId="5EB16138">
      <w:pPr>
        <w:spacing w:after="0" w:line="360" w:lineRule="auto"/>
        <w:jc w:val="both"/>
        <w:rPr>
          <w:rFonts w:ascii="Times New Roman" w:hAnsi="Times New Roman" w:cs="Times New Roman"/>
          <w:lang w:val="lv-LV"/>
        </w:rPr>
      </w:pPr>
    </w:p>
    <w:p w14:paraId="55EB7CFB">
      <w:pPr>
        <w:spacing w:after="0" w:line="360" w:lineRule="auto"/>
        <w:jc w:val="both"/>
        <w:rPr>
          <w:rFonts w:ascii="Times New Roman" w:hAnsi="Times New Roman" w:cs="Times New Roman"/>
          <w:lang w:val="lv-LV"/>
        </w:rPr>
      </w:pPr>
    </w:p>
    <w:p w14:paraId="462688A4">
      <w:pPr>
        <w:spacing w:after="0" w:line="360" w:lineRule="auto"/>
        <w:jc w:val="both"/>
        <w:rPr>
          <w:rFonts w:ascii="Times New Roman" w:hAnsi="Times New Roman" w:cs="Times New Roman"/>
          <w:lang w:val="lv-LV"/>
        </w:rPr>
      </w:pPr>
    </w:p>
    <w:p w14:paraId="4F54E527">
      <w:pPr>
        <w:spacing w:after="0" w:line="360" w:lineRule="auto"/>
        <w:jc w:val="both"/>
        <w:rPr>
          <w:rFonts w:ascii="Times New Roman" w:hAnsi="Times New Roman" w:cs="Times New Roman"/>
          <w:lang w:val="lv-LV"/>
        </w:rPr>
      </w:pPr>
    </w:p>
    <w:p w14:paraId="06E7E063">
      <w:pPr>
        <w:spacing w:after="0" w:line="360" w:lineRule="auto"/>
        <w:jc w:val="both"/>
        <w:rPr>
          <w:rFonts w:ascii="Times New Roman" w:hAnsi="Times New Roman" w:cs="Times New Roman"/>
          <w:lang w:val="lv-LV"/>
        </w:rPr>
      </w:pPr>
    </w:p>
    <w:p w14:paraId="0897F9EE">
      <w:pPr>
        <w:spacing w:after="0" w:line="360" w:lineRule="auto"/>
        <w:jc w:val="both"/>
        <w:rPr>
          <w:rFonts w:ascii="Times New Roman" w:hAnsi="Times New Roman" w:cs="Times New Roman"/>
          <w:lang w:val="lv-LV"/>
        </w:rPr>
      </w:pPr>
    </w:p>
    <w:p w14:paraId="495BC945">
      <w:pPr>
        <w:spacing w:after="0" w:line="360" w:lineRule="auto"/>
        <w:jc w:val="both"/>
        <w:rPr>
          <w:rFonts w:ascii="Times New Roman" w:hAnsi="Times New Roman" w:cs="Times New Roman"/>
          <w:lang w:val="lv-LV"/>
        </w:rPr>
      </w:pPr>
    </w:p>
    <w:p w14:paraId="6145438A">
      <w:pPr>
        <w:spacing w:after="0" w:line="360" w:lineRule="auto"/>
        <w:jc w:val="both"/>
        <w:rPr>
          <w:rFonts w:ascii="Times New Roman" w:hAnsi="Times New Roman" w:cs="Times New Roman"/>
          <w:lang w:val="lv-LV"/>
        </w:rPr>
      </w:pPr>
    </w:p>
    <w:p w14:paraId="393CFF6B">
      <w:pPr>
        <w:spacing w:after="0" w:line="360" w:lineRule="auto"/>
        <w:jc w:val="both"/>
        <w:rPr>
          <w:rFonts w:ascii="Times New Roman" w:hAnsi="Times New Roman" w:cs="Times New Roman"/>
          <w:lang w:val="lv-LV"/>
        </w:rPr>
      </w:pPr>
    </w:p>
    <w:p w14:paraId="741F7021">
      <w:pPr>
        <w:spacing w:after="0" w:line="360" w:lineRule="auto"/>
        <w:jc w:val="both"/>
        <w:rPr>
          <w:rFonts w:ascii="Times New Roman" w:hAnsi="Times New Roman" w:cs="Times New Roman"/>
          <w:lang w:val="lv-LV"/>
        </w:rPr>
      </w:pPr>
    </w:p>
    <w:p w14:paraId="751D8E08">
      <w:pPr>
        <w:spacing w:after="0" w:line="360" w:lineRule="auto"/>
        <w:jc w:val="both"/>
        <w:rPr>
          <w:rFonts w:ascii="Times New Roman" w:hAnsi="Times New Roman" w:cs="Times New Roman"/>
          <w:lang w:val="lv-LV"/>
        </w:rPr>
      </w:pPr>
    </w:p>
    <w:p w14:paraId="09DEC66A">
      <w:pPr>
        <w:spacing w:after="0" w:line="360" w:lineRule="auto"/>
        <w:jc w:val="both"/>
        <w:rPr>
          <w:rFonts w:ascii="Times New Roman" w:hAnsi="Times New Roman" w:cs="Times New Roman"/>
          <w:lang w:val="lv-LV"/>
        </w:rPr>
      </w:pPr>
    </w:p>
    <w:p w14:paraId="426E8D93">
      <w:pPr>
        <w:spacing w:after="0" w:line="360" w:lineRule="auto"/>
        <w:jc w:val="both"/>
        <w:rPr>
          <w:rFonts w:ascii="Times New Roman" w:hAnsi="Times New Roman" w:cs="Times New Roman"/>
          <w:lang w:val="lv-LV"/>
        </w:rPr>
      </w:pPr>
    </w:p>
    <w:p w14:paraId="263A1BAB">
      <w:pPr>
        <w:spacing w:after="0" w:line="360" w:lineRule="auto"/>
        <w:jc w:val="both"/>
        <w:rPr>
          <w:rFonts w:ascii="Times New Roman" w:hAnsi="Times New Roman" w:cs="Times New Roman"/>
          <w:lang w:val="lv-LV"/>
        </w:rPr>
      </w:pPr>
    </w:p>
    <w:p w14:paraId="1E442BBE">
      <w:pPr>
        <w:spacing w:after="0" w:line="360" w:lineRule="auto"/>
        <w:jc w:val="both"/>
        <w:rPr>
          <w:rFonts w:ascii="Times New Roman" w:hAnsi="Times New Roman" w:cs="Times New Roman"/>
          <w:lang w:val="lv-LV"/>
        </w:rPr>
      </w:pPr>
    </w:p>
    <w:p w14:paraId="384EC97A">
      <w:pPr>
        <w:spacing w:after="0" w:line="360" w:lineRule="auto"/>
        <w:jc w:val="both"/>
        <w:rPr>
          <w:rFonts w:ascii="Times New Roman" w:hAnsi="Times New Roman" w:cs="Times New Roman"/>
          <w:lang w:val="lv-LV"/>
        </w:rPr>
      </w:pPr>
    </w:p>
    <w:p w14:paraId="419422AA">
      <w:pPr>
        <w:spacing w:after="0" w:line="360" w:lineRule="auto"/>
        <w:jc w:val="both"/>
        <w:rPr>
          <w:rFonts w:ascii="Times New Roman" w:hAnsi="Times New Roman" w:cs="Times New Roman"/>
          <w:lang w:val="lv-LV"/>
        </w:rPr>
      </w:pPr>
    </w:p>
    <w:p w14:paraId="6B02A953">
      <w:pPr>
        <w:spacing w:after="0" w:line="360" w:lineRule="auto"/>
        <w:jc w:val="both"/>
        <w:rPr>
          <w:rFonts w:ascii="Times New Roman" w:hAnsi="Times New Roman" w:cs="Times New Roman"/>
          <w:lang w:val="lv-LV"/>
        </w:rPr>
      </w:pPr>
    </w:p>
    <w:p w14:paraId="6026BFA0">
      <w:pPr>
        <w:spacing w:after="0" w:line="360" w:lineRule="auto"/>
        <w:jc w:val="both"/>
        <w:rPr>
          <w:rFonts w:ascii="Times New Roman" w:hAnsi="Times New Roman" w:cs="Times New Roman"/>
          <w:lang w:val="lv-LV"/>
        </w:rPr>
      </w:pPr>
    </w:p>
    <w:p w14:paraId="49923B4F">
      <w:pPr>
        <w:spacing w:after="0" w:line="360" w:lineRule="auto"/>
        <w:jc w:val="both"/>
        <w:rPr>
          <w:rFonts w:ascii="Times New Roman" w:hAnsi="Times New Roman" w:cs="Times New Roman"/>
          <w:lang w:val="lv-LV"/>
        </w:rPr>
      </w:pPr>
    </w:p>
    <w:p w14:paraId="09FA2BE8">
      <w:pPr>
        <w:spacing w:after="0" w:line="360" w:lineRule="auto"/>
        <w:jc w:val="both"/>
        <w:rPr>
          <w:rFonts w:ascii="Times New Roman" w:hAnsi="Times New Roman" w:cs="Times New Roman"/>
          <w:lang w:val="lv-LV"/>
        </w:rPr>
      </w:pPr>
    </w:p>
    <w:p w14:paraId="5D730D77">
      <w:pPr>
        <w:pStyle w:val="2"/>
        <w:spacing w:line="360" w:lineRule="auto"/>
        <w:jc w:val="both"/>
        <w:rPr>
          <w:lang w:val="lv-LV"/>
        </w:rPr>
      </w:pPr>
    </w:p>
    <w:p w14:paraId="21D87230">
      <w:pPr>
        <w:rPr>
          <w:lang w:val="lv-LV"/>
        </w:rPr>
      </w:pPr>
    </w:p>
    <w:p w14:paraId="07A15AC1">
      <w:pPr>
        <w:rPr>
          <w:lang w:val="lv-LV"/>
        </w:rPr>
      </w:pPr>
    </w:p>
    <w:sectPr>
      <w:footerReference r:id="rId5" w:type="default"/>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ptos">
    <w:altName w:val="SimSun"/>
    <w:panose1 w:val="00000000000000000000"/>
    <w:charset w:val="86"/>
    <w:family w:val="swiss"/>
    <w:pitch w:val="default"/>
    <w:sig w:usb0="00000000" w:usb1="00000000" w:usb2="00000000" w:usb3="00000000" w:csb0="0000019F" w:csb1="00000000"/>
  </w:font>
  <w:font w:name="Aptos">
    <w:altName w:val="Segoe Print"/>
    <w:panose1 w:val="00000000000000000000"/>
    <w:charset w:val="00"/>
    <w:family w:val="auto"/>
    <w:pitch w:val="default"/>
    <w:sig w:usb0="00000000" w:usb1="00000000" w:usb2="00000000" w:usb3="00000000" w:csb0="00000000" w:csb1="00000000"/>
  </w:font>
  <w:font w:name="Aptos Display">
    <w:altName w:val="Segoe Print"/>
    <w:panose1 w:val="00000000000000000000"/>
    <w:charset w:val="00"/>
    <w:family w:val="swiss"/>
    <w:pitch w:val="default"/>
    <w:sig w:usb0="00000000" w:usb1="00000000" w:usb2="00000000" w:usb3="00000000" w:csb0="0000019F" w:csb1="00000000"/>
  </w:font>
  <w:font w:name="等线 Light">
    <w:altName w:val="Segoe Print"/>
    <w:panose1 w:val="00000000000000000000"/>
    <w:charset w:val="00"/>
    <w:family w:val="auto"/>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09193175"/>
      <w:docPartObj>
        <w:docPartGallery w:val="AutoText"/>
      </w:docPartObj>
    </w:sdtPr>
    <w:sdtContent>
      <w:p w14:paraId="647F3617">
        <w:pPr>
          <w:pStyle w:val="16"/>
          <w:jc w:val="cente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lv-LV"/>
          </w:rPr>
          <w:t>2</w:t>
        </w:r>
        <w:r>
          <w:rPr>
            <w:rFonts w:ascii="Times New Roman" w:hAnsi="Times New Roman" w:cs="Times New Roman"/>
          </w:rPr>
          <w:fldChar w:fldCharType="end"/>
        </w:r>
      </w:p>
    </w:sdtContent>
  </w:sdt>
  <w:p w14:paraId="7F4B0324">
    <w:pPr>
      <w:pStyle w:val="1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2414548"/>
    <w:multiLevelType w:val="multilevel"/>
    <w:tmpl w:val="22414548"/>
    <w:lvl w:ilvl="0" w:tentative="0">
      <w:start w:val="1"/>
      <w:numFmt w:val="decimal"/>
      <w:lvlText w:val="%1."/>
      <w:lvlJc w:val="left"/>
      <w:pPr>
        <w:ind w:left="502" w:hanging="360"/>
      </w:pPr>
      <w:rPr>
        <w:rFonts w:hint="default"/>
      </w:rPr>
    </w:lvl>
    <w:lvl w:ilvl="1" w:tentative="0">
      <w:start w:val="1"/>
      <w:numFmt w:val="decimal"/>
      <w:isLgl/>
      <w:lvlText w:val="%1.%2."/>
      <w:lvlJc w:val="left"/>
      <w:pPr>
        <w:ind w:left="1080" w:hanging="720"/>
      </w:pPr>
      <w:rPr>
        <w:rFonts w:hint="default"/>
      </w:rPr>
    </w:lvl>
    <w:lvl w:ilvl="2" w:tentative="0">
      <w:start w:val="1"/>
      <w:numFmt w:val="decimal"/>
      <w:isLgl/>
      <w:lvlText w:val="%1.%2.%3."/>
      <w:lvlJc w:val="left"/>
      <w:pPr>
        <w:ind w:left="1004" w:hanging="720"/>
      </w:pPr>
      <w:rPr>
        <w:rFonts w:hint="default"/>
      </w:rPr>
    </w:lvl>
    <w:lvl w:ilvl="3" w:tentative="0">
      <w:start w:val="1"/>
      <w:numFmt w:val="decimal"/>
      <w:isLgl/>
      <w:lvlText w:val="%1.%2.%3.%4."/>
      <w:lvlJc w:val="left"/>
      <w:pPr>
        <w:ind w:left="1440" w:hanging="108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800" w:hanging="144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2160" w:hanging="1800"/>
      </w:pPr>
      <w:rPr>
        <w:rFonts w:hint="default"/>
      </w:rPr>
    </w:lvl>
    <w:lvl w:ilvl="8" w:tentative="0">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A93"/>
    <w:rsid w:val="00003C51"/>
    <w:rsid w:val="00003D1D"/>
    <w:rsid w:val="000247FE"/>
    <w:rsid w:val="0003732D"/>
    <w:rsid w:val="00073CD6"/>
    <w:rsid w:val="00074E07"/>
    <w:rsid w:val="0008081B"/>
    <w:rsid w:val="000E1D6E"/>
    <w:rsid w:val="000F4B45"/>
    <w:rsid w:val="0013016D"/>
    <w:rsid w:val="00133AA7"/>
    <w:rsid w:val="00137A26"/>
    <w:rsid w:val="00164D4F"/>
    <w:rsid w:val="00174FA1"/>
    <w:rsid w:val="001764A7"/>
    <w:rsid w:val="00194F7D"/>
    <w:rsid w:val="00196A52"/>
    <w:rsid w:val="001A4029"/>
    <w:rsid w:val="001B72EE"/>
    <w:rsid w:val="001E31A9"/>
    <w:rsid w:val="001E3E18"/>
    <w:rsid w:val="001E4CC9"/>
    <w:rsid w:val="00247C4F"/>
    <w:rsid w:val="00281232"/>
    <w:rsid w:val="00284677"/>
    <w:rsid w:val="002A3B38"/>
    <w:rsid w:val="002E3E1E"/>
    <w:rsid w:val="002F711D"/>
    <w:rsid w:val="002F7795"/>
    <w:rsid w:val="00311084"/>
    <w:rsid w:val="00350EC5"/>
    <w:rsid w:val="003819B1"/>
    <w:rsid w:val="003927EC"/>
    <w:rsid w:val="0039566D"/>
    <w:rsid w:val="00396A7E"/>
    <w:rsid w:val="003A1E7E"/>
    <w:rsid w:val="003A4F6A"/>
    <w:rsid w:val="003B75A4"/>
    <w:rsid w:val="00402067"/>
    <w:rsid w:val="0041245B"/>
    <w:rsid w:val="004257C9"/>
    <w:rsid w:val="0044188E"/>
    <w:rsid w:val="004564F8"/>
    <w:rsid w:val="00483EA0"/>
    <w:rsid w:val="00487F35"/>
    <w:rsid w:val="004A2999"/>
    <w:rsid w:val="004B1B1A"/>
    <w:rsid w:val="004E0EE6"/>
    <w:rsid w:val="004E171E"/>
    <w:rsid w:val="004F16C3"/>
    <w:rsid w:val="004F5A93"/>
    <w:rsid w:val="00506780"/>
    <w:rsid w:val="0053016A"/>
    <w:rsid w:val="00530869"/>
    <w:rsid w:val="005573B8"/>
    <w:rsid w:val="00571E6F"/>
    <w:rsid w:val="005A01DD"/>
    <w:rsid w:val="005B51D6"/>
    <w:rsid w:val="006523A0"/>
    <w:rsid w:val="00674586"/>
    <w:rsid w:val="006855A8"/>
    <w:rsid w:val="006903E1"/>
    <w:rsid w:val="0069343A"/>
    <w:rsid w:val="006B3E70"/>
    <w:rsid w:val="006B4443"/>
    <w:rsid w:val="006D0606"/>
    <w:rsid w:val="006F6DF3"/>
    <w:rsid w:val="007142B8"/>
    <w:rsid w:val="007505D1"/>
    <w:rsid w:val="00755D53"/>
    <w:rsid w:val="00780484"/>
    <w:rsid w:val="007A6375"/>
    <w:rsid w:val="007A6B48"/>
    <w:rsid w:val="007E3DB1"/>
    <w:rsid w:val="007F3B2D"/>
    <w:rsid w:val="00800F4E"/>
    <w:rsid w:val="00814BD5"/>
    <w:rsid w:val="0082181F"/>
    <w:rsid w:val="00823561"/>
    <w:rsid w:val="00826A03"/>
    <w:rsid w:val="0082715E"/>
    <w:rsid w:val="00827C96"/>
    <w:rsid w:val="00831912"/>
    <w:rsid w:val="00875DF8"/>
    <w:rsid w:val="008851A0"/>
    <w:rsid w:val="008927FE"/>
    <w:rsid w:val="00892943"/>
    <w:rsid w:val="008B3618"/>
    <w:rsid w:val="008E1F41"/>
    <w:rsid w:val="008E5164"/>
    <w:rsid w:val="008F23FC"/>
    <w:rsid w:val="009013D7"/>
    <w:rsid w:val="009230A2"/>
    <w:rsid w:val="00961B59"/>
    <w:rsid w:val="009701D7"/>
    <w:rsid w:val="00990CDF"/>
    <w:rsid w:val="00994079"/>
    <w:rsid w:val="009A1A11"/>
    <w:rsid w:val="009B5246"/>
    <w:rsid w:val="009C15C7"/>
    <w:rsid w:val="009E7460"/>
    <w:rsid w:val="00A12C70"/>
    <w:rsid w:val="00A228FD"/>
    <w:rsid w:val="00A32DCA"/>
    <w:rsid w:val="00A34B81"/>
    <w:rsid w:val="00A36A4B"/>
    <w:rsid w:val="00A45C85"/>
    <w:rsid w:val="00A73B08"/>
    <w:rsid w:val="00AA54FD"/>
    <w:rsid w:val="00AC4D48"/>
    <w:rsid w:val="00AF3E5F"/>
    <w:rsid w:val="00B04B10"/>
    <w:rsid w:val="00B21A5D"/>
    <w:rsid w:val="00B22DCA"/>
    <w:rsid w:val="00B65FFB"/>
    <w:rsid w:val="00B74B5F"/>
    <w:rsid w:val="00B7537D"/>
    <w:rsid w:val="00B77E9A"/>
    <w:rsid w:val="00B878DD"/>
    <w:rsid w:val="00B87D0D"/>
    <w:rsid w:val="00B905C9"/>
    <w:rsid w:val="00B96765"/>
    <w:rsid w:val="00BB5A0D"/>
    <w:rsid w:val="00BF51CF"/>
    <w:rsid w:val="00C00246"/>
    <w:rsid w:val="00C27EAB"/>
    <w:rsid w:val="00C51B08"/>
    <w:rsid w:val="00CD2376"/>
    <w:rsid w:val="00CF00E2"/>
    <w:rsid w:val="00D01DCC"/>
    <w:rsid w:val="00D100CC"/>
    <w:rsid w:val="00D316E1"/>
    <w:rsid w:val="00D37E51"/>
    <w:rsid w:val="00D44713"/>
    <w:rsid w:val="00D505DE"/>
    <w:rsid w:val="00D61B2F"/>
    <w:rsid w:val="00DB3416"/>
    <w:rsid w:val="00DB4650"/>
    <w:rsid w:val="00DB478A"/>
    <w:rsid w:val="00DC74AA"/>
    <w:rsid w:val="00DD5745"/>
    <w:rsid w:val="00DE2CB5"/>
    <w:rsid w:val="00E25E5A"/>
    <w:rsid w:val="00E4426F"/>
    <w:rsid w:val="00E6673C"/>
    <w:rsid w:val="00E918DB"/>
    <w:rsid w:val="00E97427"/>
    <w:rsid w:val="00EB4338"/>
    <w:rsid w:val="00EC4852"/>
    <w:rsid w:val="00EE4D57"/>
    <w:rsid w:val="00EF2D8A"/>
    <w:rsid w:val="00F70AE9"/>
    <w:rsid w:val="00F848B4"/>
    <w:rsid w:val="00FA40B6"/>
    <w:rsid w:val="00FB5899"/>
    <w:rsid w:val="00FD4D2C"/>
    <w:rsid w:val="00FE4BCB"/>
    <w:rsid w:val="00FE70E0"/>
    <w:rsid w:val="00FF3E55"/>
    <w:rsid w:val="00FF5A72"/>
    <w:rsid w:val="0344011D"/>
    <w:rsid w:val="0362429C"/>
    <w:rsid w:val="121F3DCB"/>
    <w:rsid w:val="1D790CEA"/>
    <w:rsid w:val="2C5F615A"/>
    <w:rsid w:val="2F973374"/>
    <w:rsid w:val="30797811"/>
    <w:rsid w:val="3537465F"/>
    <w:rsid w:val="4A82059F"/>
    <w:rsid w:val="59EF316C"/>
    <w:rsid w:val="5DAC78BD"/>
    <w:rsid w:val="690D79EA"/>
    <w:rsid w:val="77BC6E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HAnsi" w:cstheme="minorBidi"/>
      <w:kern w:val="2"/>
      <w:sz w:val="24"/>
      <w:szCs w:val="24"/>
      <w:lang w:val="en-US" w:eastAsia="en-US" w:bidi="ar-SA"/>
      <w14:ligatures w14:val="standardContextual"/>
    </w:rPr>
  </w:style>
  <w:style w:type="paragraph" w:styleId="2">
    <w:name w:val="heading 1"/>
    <w:basedOn w:val="1"/>
    <w:next w:val="1"/>
    <w:link w:val="23"/>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link w:val="24"/>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4">
    <w:name w:val="heading 3"/>
    <w:basedOn w:val="1"/>
    <w:next w:val="1"/>
    <w:link w:val="25"/>
    <w:semiHidden/>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26"/>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7"/>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28"/>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9"/>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0"/>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1"/>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uiPriority w:val="99"/>
    <w:tblPr>
      <w:tblCellMar>
        <w:top w:w="0" w:type="dxa"/>
        <w:left w:w="108" w:type="dxa"/>
        <w:bottom w:w="0" w:type="dxa"/>
        <w:right w:w="108" w:type="dxa"/>
      </w:tblCellMar>
    </w:tblPr>
  </w:style>
  <w:style w:type="character" w:styleId="13">
    <w:name w:val="annotation reference"/>
    <w:basedOn w:val="11"/>
    <w:semiHidden/>
    <w:unhideWhenUsed/>
    <w:qFormat/>
    <w:uiPriority w:val="99"/>
    <w:rPr>
      <w:sz w:val="16"/>
      <w:szCs w:val="16"/>
    </w:rPr>
  </w:style>
  <w:style w:type="paragraph" w:styleId="14">
    <w:name w:val="annotation text"/>
    <w:basedOn w:val="1"/>
    <w:link w:val="46"/>
    <w:unhideWhenUsed/>
    <w:qFormat/>
    <w:uiPriority w:val="99"/>
    <w:pPr>
      <w:spacing w:line="240" w:lineRule="auto"/>
    </w:pPr>
    <w:rPr>
      <w:sz w:val="20"/>
      <w:szCs w:val="20"/>
    </w:rPr>
  </w:style>
  <w:style w:type="paragraph" w:styleId="15">
    <w:name w:val="annotation subject"/>
    <w:basedOn w:val="14"/>
    <w:next w:val="14"/>
    <w:link w:val="47"/>
    <w:semiHidden/>
    <w:unhideWhenUsed/>
    <w:qFormat/>
    <w:uiPriority w:val="99"/>
    <w:rPr>
      <w:b/>
      <w:bCs/>
    </w:rPr>
  </w:style>
  <w:style w:type="paragraph" w:styleId="16">
    <w:name w:val="footer"/>
    <w:basedOn w:val="1"/>
    <w:link w:val="42"/>
    <w:unhideWhenUsed/>
    <w:uiPriority w:val="99"/>
    <w:pPr>
      <w:tabs>
        <w:tab w:val="center" w:pos="4320"/>
        <w:tab w:val="right" w:pos="8640"/>
      </w:tabs>
      <w:spacing w:after="0" w:line="240" w:lineRule="auto"/>
    </w:pPr>
  </w:style>
  <w:style w:type="paragraph" w:styleId="17">
    <w:name w:val="header"/>
    <w:basedOn w:val="1"/>
    <w:link w:val="41"/>
    <w:unhideWhenUsed/>
    <w:qFormat/>
    <w:uiPriority w:val="99"/>
    <w:pPr>
      <w:tabs>
        <w:tab w:val="center" w:pos="4320"/>
        <w:tab w:val="right" w:pos="8640"/>
      </w:tabs>
      <w:spacing w:after="0" w:line="240" w:lineRule="auto"/>
    </w:pPr>
  </w:style>
  <w:style w:type="character" w:styleId="18">
    <w:name w:val="Hyperlink"/>
    <w:basedOn w:val="11"/>
    <w:unhideWhenUsed/>
    <w:uiPriority w:val="99"/>
    <w:rPr>
      <w:color w:val="467886" w:themeColor="hyperlink"/>
      <w:u w:val="single"/>
      <w14:textFill>
        <w14:solidFill>
          <w14:schemeClr w14:val="hlink"/>
        </w14:solidFill>
      </w14:textFill>
    </w:rPr>
  </w:style>
  <w:style w:type="paragraph" w:styleId="19">
    <w:name w:val="Subtitle"/>
    <w:basedOn w:val="1"/>
    <w:next w:val="1"/>
    <w:link w:val="33"/>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table" w:styleId="20">
    <w:name w:val="Table Grid"/>
    <w:basedOn w:val="12"/>
    <w:uiPriority w:val="59"/>
    <w:pPr>
      <w:spacing w:after="0" w:line="240" w:lineRule="auto"/>
    </w:pPr>
    <w:rPr>
      <w:rFonts w:ascii="Times New Roman" w:hAnsi="Times New Roman" w:eastAsia="Times New Roman" w:cs="Times New Roman"/>
      <w:kern w:val="0"/>
      <w:sz w:val="20"/>
      <w:szCs w:val="20"/>
      <w:lang w:val="lv-LV" w:eastAsia="lv-LV"/>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1">
    <w:name w:val="Title"/>
    <w:basedOn w:val="1"/>
    <w:next w:val="1"/>
    <w:link w:val="32"/>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22">
    <w:name w:val="toc 1"/>
    <w:basedOn w:val="1"/>
    <w:next w:val="1"/>
    <w:autoRedefine/>
    <w:unhideWhenUsed/>
    <w:uiPriority w:val="39"/>
    <w:pPr>
      <w:spacing w:after="100"/>
    </w:pPr>
  </w:style>
  <w:style w:type="character" w:customStyle="1" w:styleId="23">
    <w:name w:val="Virsraksts 1 Rakstz."/>
    <w:basedOn w:val="11"/>
    <w:link w:val="2"/>
    <w:qFormat/>
    <w:uiPriority w:val="9"/>
    <w:rPr>
      <w:rFonts w:asciiTheme="majorHAnsi" w:hAnsiTheme="majorHAnsi" w:eastAsiaTheme="majorEastAsia" w:cstheme="majorBidi"/>
      <w:color w:val="104862" w:themeColor="accent1" w:themeShade="BF"/>
      <w:sz w:val="40"/>
      <w:szCs w:val="40"/>
    </w:rPr>
  </w:style>
  <w:style w:type="character" w:customStyle="1" w:styleId="24">
    <w:name w:val="Virsraksts 2 Rakstz."/>
    <w:basedOn w:val="11"/>
    <w:link w:val="3"/>
    <w:semiHidden/>
    <w:qFormat/>
    <w:uiPriority w:val="9"/>
    <w:rPr>
      <w:rFonts w:asciiTheme="majorHAnsi" w:hAnsiTheme="majorHAnsi" w:eastAsiaTheme="majorEastAsia" w:cstheme="majorBidi"/>
      <w:color w:val="104862" w:themeColor="accent1" w:themeShade="BF"/>
      <w:sz w:val="32"/>
      <w:szCs w:val="32"/>
    </w:rPr>
  </w:style>
  <w:style w:type="character" w:customStyle="1" w:styleId="25">
    <w:name w:val="Virsraksts 3 Rakstz."/>
    <w:basedOn w:val="11"/>
    <w:link w:val="4"/>
    <w:semiHidden/>
    <w:qFormat/>
    <w:uiPriority w:val="9"/>
    <w:rPr>
      <w:rFonts w:eastAsiaTheme="majorEastAsia" w:cstheme="majorBidi"/>
      <w:color w:val="104862" w:themeColor="accent1" w:themeShade="BF"/>
      <w:sz w:val="28"/>
      <w:szCs w:val="28"/>
    </w:rPr>
  </w:style>
  <w:style w:type="character" w:customStyle="1" w:styleId="26">
    <w:name w:val="Virsraksts 4 Rakstz."/>
    <w:basedOn w:val="11"/>
    <w:link w:val="5"/>
    <w:semiHidden/>
    <w:qFormat/>
    <w:uiPriority w:val="9"/>
    <w:rPr>
      <w:rFonts w:eastAsiaTheme="majorEastAsia" w:cstheme="majorBidi"/>
      <w:i/>
      <w:iCs/>
      <w:color w:val="104862" w:themeColor="accent1" w:themeShade="BF"/>
    </w:rPr>
  </w:style>
  <w:style w:type="character" w:customStyle="1" w:styleId="27">
    <w:name w:val="Virsraksts 5 Rakstz."/>
    <w:basedOn w:val="11"/>
    <w:link w:val="6"/>
    <w:semiHidden/>
    <w:qFormat/>
    <w:uiPriority w:val="9"/>
    <w:rPr>
      <w:rFonts w:eastAsiaTheme="majorEastAsia" w:cstheme="majorBidi"/>
      <w:color w:val="104862" w:themeColor="accent1" w:themeShade="BF"/>
    </w:rPr>
  </w:style>
  <w:style w:type="character" w:customStyle="1" w:styleId="28">
    <w:name w:val="Virsraksts 6 Rakstz."/>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9">
    <w:name w:val="Virsraksts 7 Rakstz."/>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0">
    <w:name w:val="Virsraksts 8 Rakstz."/>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31">
    <w:name w:val="Virsraksts 9 Rakstz."/>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2">
    <w:name w:val="Nosaukums Rakstz."/>
    <w:basedOn w:val="11"/>
    <w:link w:val="21"/>
    <w:qFormat/>
    <w:uiPriority w:val="10"/>
    <w:rPr>
      <w:rFonts w:asciiTheme="majorHAnsi" w:hAnsiTheme="majorHAnsi" w:eastAsiaTheme="majorEastAsia" w:cstheme="majorBidi"/>
      <w:spacing w:val="-10"/>
      <w:kern w:val="28"/>
      <w:sz w:val="56"/>
      <w:szCs w:val="56"/>
    </w:rPr>
  </w:style>
  <w:style w:type="character" w:customStyle="1" w:styleId="33">
    <w:name w:val="Apakšvirsraksts Rakstz."/>
    <w:basedOn w:val="11"/>
    <w:link w:val="19"/>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4">
    <w:name w:val="Quote"/>
    <w:basedOn w:val="1"/>
    <w:next w:val="1"/>
    <w:link w:val="35"/>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5">
    <w:name w:val="Citāts Rakstz."/>
    <w:basedOn w:val="11"/>
    <w:link w:val="34"/>
    <w:uiPriority w:val="29"/>
    <w:rPr>
      <w:i/>
      <w:iCs/>
      <w:color w:val="404040" w:themeColor="text1" w:themeTint="BF"/>
      <w14:textFill>
        <w14:solidFill>
          <w14:schemeClr w14:val="tx1">
            <w14:lumMod w14:val="75000"/>
            <w14:lumOff w14:val="25000"/>
          </w14:schemeClr>
        </w14:solidFill>
      </w14:textFill>
    </w:rPr>
  </w:style>
  <w:style w:type="paragraph" w:styleId="36">
    <w:name w:val="List Paragraph"/>
    <w:basedOn w:val="1"/>
    <w:qFormat/>
    <w:uiPriority w:val="34"/>
    <w:pPr>
      <w:ind w:left="720"/>
      <w:contextualSpacing/>
    </w:pPr>
  </w:style>
  <w:style w:type="character" w:customStyle="1" w:styleId="37">
    <w:name w:val="Intense Emphasis"/>
    <w:basedOn w:val="11"/>
    <w:qFormat/>
    <w:uiPriority w:val="21"/>
    <w:rPr>
      <w:i/>
      <w:iCs/>
      <w:color w:val="104862" w:themeColor="accent1" w:themeShade="BF"/>
    </w:rPr>
  </w:style>
  <w:style w:type="paragraph" w:styleId="38">
    <w:name w:val="Intense Quote"/>
    <w:basedOn w:val="1"/>
    <w:next w:val="1"/>
    <w:link w:val="39"/>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9">
    <w:name w:val="Intensīvs citāts Rakstz."/>
    <w:basedOn w:val="11"/>
    <w:link w:val="38"/>
    <w:qFormat/>
    <w:uiPriority w:val="30"/>
    <w:rPr>
      <w:i/>
      <w:iCs/>
      <w:color w:val="104862" w:themeColor="accent1" w:themeShade="BF"/>
    </w:rPr>
  </w:style>
  <w:style w:type="character" w:customStyle="1" w:styleId="40">
    <w:name w:val="Intense Reference"/>
    <w:basedOn w:val="11"/>
    <w:qFormat/>
    <w:uiPriority w:val="32"/>
    <w:rPr>
      <w:b/>
      <w:bCs/>
      <w:smallCaps/>
      <w:color w:val="104862" w:themeColor="accent1" w:themeShade="BF"/>
      <w:spacing w:val="5"/>
    </w:rPr>
  </w:style>
  <w:style w:type="character" w:customStyle="1" w:styleId="41">
    <w:name w:val="Galvene Rakstz."/>
    <w:basedOn w:val="11"/>
    <w:link w:val="17"/>
    <w:uiPriority w:val="99"/>
  </w:style>
  <w:style w:type="character" w:customStyle="1" w:styleId="42">
    <w:name w:val="Kājene Rakstz."/>
    <w:basedOn w:val="11"/>
    <w:link w:val="16"/>
    <w:qFormat/>
    <w:uiPriority w:val="99"/>
  </w:style>
  <w:style w:type="character" w:customStyle="1" w:styleId="43">
    <w:name w:val="Unresolved Mention"/>
    <w:basedOn w:val="11"/>
    <w:semiHidden/>
    <w:unhideWhenUsed/>
    <w:uiPriority w:val="99"/>
    <w:rPr>
      <w:color w:val="605E5C"/>
      <w:shd w:val="clear" w:color="auto" w:fill="E1DFDD"/>
    </w:rPr>
  </w:style>
  <w:style w:type="paragraph" w:customStyle="1" w:styleId="44">
    <w:name w:val="TOC Heading"/>
    <w:basedOn w:val="2"/>
    <w:next w:val="1"/>
    <w:unhideWhenUsed/>
    <w:qFormat/>
    <w:uiPriority w:val="39"/>
    <w:pPr>
      <w:spacing w:before="240" w:after="0" w:line="259" w:lineRule="auto"/>
      <w:outlineLvl w:val="9"/>
    </w:pPr>
    <w:rPr>
      <w:kern w:val="0"/>
      <w:sz w:val="32"/>
      <w:szCs w:val="32"/>
      <w14:ligatures w14:val="none"/>
    </w:rPr>
  </w:style>
  <w:style w:type="paragraph" w:customStyle="1" w:styleId="45">
    <w:name w:val="Revision"/>
    <w:hidden/>
    <w:semiHidden/>
    <w:uiPriority w:val="99"/>
    <w:pPr>
      <w:spacing w:after="0" w:line="240" w:lineRule="auto"/>
    </w:pPr>
    <w:rPr>
      <w:rFonts w:asciiTheme="minorHAnsi" w:hAnsiTheme="minorHAnsi" w:eastAsiaTheme="minorHAnsi" w:cstheme="minorBidi"/>
      <w:kern w:val="2"/>
      <w:sz w:val="24"/>
      <w:szCs w:val="24"/>
      <w:lang w:val="en-US" w:eastAsia="en-US" w:bidi="ar-SA"/>
      <w14:ligatures w14:val="standardContextual"/>
    </w:rPr>
  </w:style>
  <w:style w:type="character" w:customStyle="1" w:styleId="46">
    <w:name w:val="Komentāra teksts Rakstz."/>
    <w:basedOn w:val="11"/>
    <w:link w:val="14"/>
    <w:qFormat/>
    <w:uiPriority w:val="99"/>
    <w:rPr>
      <w:sz w:val="20"/>
      <w:szCs w:val="20"/>
    </w:rPr>
  </w:style>
  <w:style w:type="character" w:customStyle="1" w:styleId="47">
    <w:name w:val="Komentāra tēma Rakstz."/>
    <w:basedOn w:val="46"/>
    <w:link w:val="15"/>
    <w:semiHidden/>
    <w:qFormat/>
    <w:uiPriority w:val="99"/>
    <w:rPr>
      <w:b/>
      <w:bCs/>
      <w:sz w:val="20"/>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E6BC07-3092-4938-81B3-63E07E2801E6}">
  <ds:schemaRefs/>
</ds:datastoreItem>
</file>

<file path=docProps/app.xml><?xml version="1.0" encoding="utf-8"?>
<Properties xmlns="http://schemas.openxmlformats.org/officeDocument/2006/extended-properties" xmlns:vt="http://schemas.openxmlformats.org/officeDocument/2006/docPropsVTypes">
  <Template>Normal.dotm</Template>
  <Pages>25</Pages>
  <Words>6983</Words>
  <Characters>39809</Characters>
  <Lines>331</Lines>
  <Paragraphs>93</Paragraphs>
  <TotalTime>6</TotalTime>
  <ScaleCrop>false</ScaleCrop>
  <LinksUpToDate>false</LinksUpToDate>
  <CharactersWithSpaces>46699</CharactersWithSpaces>
  <Application>WPS Office_12.2.0.23206_F1E327BC-269C-435d-A152-05C5408002CA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2026-08-12T10:32:00Z</dcterms:created>
  <dc:creator>Zane Ozola</dc:creator>
  <cp:lastModifiedBy>Zane Ozola</cp:lastModifiedBy>
  <cp:lastPrinted>2026-07-28T09:21:00Z</cp:lastPrinted>
  <dcterms:modified xsi:type="dcterms:W3CDTF">2026-08-24T14:09:40Z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1033-12.2.0.23206</vt:lpwstr>
  </property>
  <property fmtid="{D5CDD505-2E9C-101B-9397-08002B2CF9AE}" pid="3" name="ICV">
    <vt:lpwstr>B90BFCACDB604F7089C7FC2A778EA38A_13</vt:lpwstr>
  </property>
</Properties>
</file>