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investīciju un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90001739473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valsts tēla stratēģijas 2027.–2031. gadam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LIAA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"B40 Magic"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"McCann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