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411A" w:rsidRPr="00A431ED" w:rsidRDefault="00AC411A" w:rsidP="00AC411A">
      <w:pPr>
        <w:jc w:val="right"/>
        <w:rPr>
          <w:color w:val="000000" w:themeColor="text1"/>
          <w:sz w:val="22"/>
          <w:szCs w:val="22"/>
        </w:rPr>
      </w:pPr>
      <w:r>
        <w:rPr>
          <w:color w:val="000000" w:themeColor="text1"/>
          <w:sz w:val="22"/>
          <w:szCs w:val="22"/>
        </w:rPr>
        <w:t>1</w:t>
      </w:r>
      <w:r w:rsidRPr="00A431ED">
        <w:rPr>
          <w:color w:val="000000" w:themeColor="text1"/>
          <w:sz w:val="22"/>
          <w:szCs w:val="22"/>
        </w:rPr>
        <w:t>. pielikums</w:t>
      </w:r>
    </w:p>
    <w:p w:rsidR="00AC411A" w:rsidRPr="00A431ED" w:rsidRDefault="00AC411A" w:rsidP="00AC411A">
      <w:pPr>
        <w:jc w:val="right"/>
        <w:rPr>
          <w:color w:val="000000" w:themeColor="text1"/>
          <w:sz w:val="22"/>
          <w:szCs w:val="22"/>
        </w:rPr>
      </w:pPr>
    </w:p>
    <w:p w:rsidR="00AC411A" w:rsidRPr="00B91CB2" w:rsidRDefault="00AC411A" w:rsidP="00AC411A">
      <w:pPr>
        <w:spacing w:before="240" w:after="240"/>
        <w:jc w:val="center"/>
        <w:rPr>
          <w:b/>
          <w:sz w:val="22"/>
          <w:szCs w:val="22"/>
        </w:rPr>
      </w:pPr>
      <w:r w:rsidRPr="00B91CB2">
        <w:rPr>
          <w:b/>
          <w:sz w:val="22"/>
          <w:szCs w:val="22"/>
        </w:rPr>
        <w:t>TEHNISKĀ SPECIFIKĀCIJA / TEHNISKAIS PIEDĀVĀJUMS</w:t>
      </w:r>
    </w:p>
    <w:p w:rsidR="00AC411A" w:rsidRDefault="00AC411A" w:rsidP="00AC411A">
      <w:pPr>
        <w:jc w:val="both"/>
        <w:rPr>
          <w:sz w:val="22"/>
          <w:szCs w:val="22"/>
        </w:rPr>
      </w:pPr>
    </w:p>
    <w:p w:rsidR="00AC411A" w:rsidRPr="00725A09" w:rsidRDefault="00AC411A" w:rsidP="00725A09">
      <w:pPr>
        <w:jc w:val="center"/>
        <w:rPr>
          <w:b/>
          <w:color w:val="000000" w:themeColor="text1"/>
          <w:sz w:val="28"/>
          <w:szCs w:val="28"/>
        </w:rPr>
      </w:pPr>
      <w:r w:rsidRPr="00725A09">
        <w:rPr>
          <w:b/>
          <w:color w:val="000000" w:themeColor="text1"/>
          <w:sz w:val="28"/>
          <w:szCs w:val="28"/>
        </w:rPr>
        <w:t>Papildinātās realitātes metināšanas iekārtas piegāde, uzstādīšana un  lietotāja apmācība.</w:t>
      </w:r>
    </w:p>
    <w:p w:rsidR="00AC411A" w:rsidRDefault="00AC411A" w:rsidP="00AC411A">
      <w:pPr>
        <w:jc w:val="both"/>
        <w:rPr>
          <w:b/>
          <w:color w:val="000000" w:themeColor="text1"/>
          <w:sz w:val="22"/>
          <w:szCs w:val="22"/>
        </w:rPr>
      </w:pPr>
    </w:p>
    <w:p w:rsidR="00AC411A" w:rsidRDefault="00AC411A" w:rsidP="00AC411A">
      <w:pPr>
        <w:jc w:val="both"/>
        <w:rPr>
          <w:color w:val="333333"/>
        </w:rPr>
      </w:pPr>
      <w:r w:rsidRPr="00856A79">
        <w:rPr>
          <w:color w:val="333333"/>
        </w:rPr>
        <w:t>Visām tehniskajā specifikācijā minētajām p</w:t>
      </w:r>
      <w:bookmarkStart w:id="0" w:name="_GoBack"/>
      <w:bookmarkEnd w:id="0"/>
      <w:r w:rsidRPr="00856A79">
        <w:rPr>
          <w:color w:val="333333"/>
        </w:rPr>
        <w:t>recēm jābūt jaunām.</w:t>
      </w:r>
    </w:p>
    <w:p w:rsidR="00AC411A" w:rsidRDefault="00AC411A" w:rsidP="00AC411A">
      <w:pPr>
        <w:jc w:val="both"/>
        <w:rPr>
          <w:color w:val="333333"/>
        </w:rPr>
      </w:pPr>
      <w:r w:rsidRPr="00803C95">
        <w:rPr>
          <w:color w:val="333333"/>
        </w:rPr>
        <w:t>Piegādātājs veic apmācību darbā ar iekārtām un aprīkojumu un nodrošina iekārtu un aprīkojuma uzstādīšanas procesu.</w:t>
      </w:r>
    </w:p>
    <w:p w:rsidR="00AC411A" w:rsidRDefault="00AC411A" w:rsidP="00AC411A">
      <w:pPr>
        <w:jc w:val="both"/>
        <w:rPr>
          <w:b/>
          <w:color w:val="000000" w:themeColor="text1"/>
          <w:sz w:val="22"/>
          <w:szCs w:val="22"/>
        </w:rPr>
      </w:pPr>
    </w:p>
    <w:p w:rsidR="00AC411A" w:rsidRDefault="00AC411A" w:rsidP="00AC411A">
      <w:pPr>
        <w:suppressAutoHyphens/>
        <w:jc w:val="both"/>
        <w:rPr>
          <w:b/>
          <w:sz w:val="22"/>
          <w:szCs w:val="22"/>
        </w:rPr>
      </w:pPr>
      <w:r w:rsidRPr="00803C95">
        <w:rPr>
          <w:b/>
          <w:sz w:val="22"/>
          <w:szCs w:val="22"/>
        </w:rPr>
        <w:t>Garantijas laiks piegādātajām iekārtām un aprīkojumam vismaz 24 mēneši (divdesmit četri mēneši).</w:t>
      </w:r>
    </w:p>
    <w:p w:rsidR="00AC411A" w:rsidRPr="007C738A" w:rsidRDefault="00AC411A" w:rsidP="00AC411A">
      <w:pPr>
        <w:suppressAutoHyphens/>
        <w:jc w:val="both"/>
        <w:rPr>
          <w:b/>
          <w:sz w:val="22"/>
          <w:szCs w:val="22"/>
        </w:rPr>
      </w:pPr>
      <w:r>
        <w:rPr>
          <w:b/>
          <w:sz w:val="22"/>
          <w:szCs w:val="22"/>
        </w:rPr>
        <w:t>Iekārtas g</w:t>
      </w:r>
      <w:r w:rsidRPr="007C738A">
        <w:rPr>
          <w:b/>
          <w:sz w:val="22"/>
          <w:szCs w:val="22"/>
        </w:rPr>
        <w:t>arantijas laikā jānodrošina iekārtas kvalificēta tehniskā uzraudzība, regulārās servisa apkopes, remontus, nepieciešamo rezerves daļu piegāde un nomaiņa atbilstoši ražotāja noteiktajām prasībām un iekārtas tehniskajai dokumentācijai.</w:t>
      </w:r>
    </w:p>
    <w:p w:rsidR="00AC411A" w:rsidRPr="007C738A" w:rsidRDefault="00AC411A" w:rsidP="00AC411A">
      <w:pPr>
        <w:suppressAutoHyphens/>
        <w:jc w:val="both"/>
        <w:rPr>
          <w:b/>
          <w:sz w:val="22"/>
          <w:szCs w:val="22"/>
        </w:rPr>
      </w:pPr>
      <w:r>
        <w:rPr>
          <w:b/>
          <w:sz w:val="22"/>
          <w:szCs w:val="22"/>
        </w:rPr>
        <w:t>I</w:t>
      </w:r>
      <w:r w:rsidRPr="007C738A">
        <w:rPr>
          <w:b/>
          <w:sz w:val="22"/>
          <w:szCs w:val="22"/>
        </w:rPr>
        <w:t xml:space="preserve">ekārtas garantijas laikā </w:t>
      </w:r>
      <w:r>
        <w:rPr>
          <w:b/>
          <w:sz w:val="22"/>
          <w:szCs w:val="22"/>
        </w:rPr>
        <w:t>jānodrošina bez</w:t>
      </w:r>
      <w:r w:rsidRPr="007C738A">
        <w:rPr>
          <w:b/>
          <w:sz w:val="22"/>
          <w:szCs w:val="22"/>
        </w:rPr>
        <w:t>maksas ražotāja not</w:t>
      </w:r>
      <w:r>
        <w:rPr>
          <w:b/>
          <w:sz w:val="22"/>
          <w:szCs w:val="22"/>
        </w:rPr>
        <w:t>eikto tehnisko apkopju veikšana</w:t>
      </w:r>
      <w:r w:rsidRPr="007C738A">
        <w:rPr>
          <w:b/>
          <w:sz w:val="22"/>
          <w:szCs w:val="22"/>
        </w:rPr>
        <w:t xml:space="preserve"> un ražotāja noteikt</w:t>
      </w:r>
      <w:r>
        <w:rPr>
          <w:b/>
          <w:sz w:val="22"/>
          <w:szCs w:val="22"/>
        </w:rPr>
        <w:t>ās</w:t>
      </w:r>
      <w:r w:rsidRPr="007C738A">
        <w:rPr>
          <w:b/>
          <w:sz w:val="22"/>
          <w:szCs w:val="22"/>
        </w:rPr>
        <w:t xml:space="preserve"> ie</w:t>
      </w:r>
      <w:r>
        <w:rPr>
          <w:b/>
          <w:sz w:val="22"/>
          <w:szCs w:val="22"/>
        </w:rPr>
        <w:t>kārtas pirmreizējās un regulārās</w:t>
      </w:r>
      <w:r w:rsidRPr="007C738A">
        <w:rPr>
          <w:b/>
          <w:sz w:val="22"/>
          <w:szCs w:val="22"/>
        </w:rPr>
        <w:t xml:space="preserve"> pārbau</w:t>
      </w:r>
      <w:r>
        <w:rPr>
          <w:b/>
          <w:sz w:val="22"/>
          <w:szCs w:val="22"/>
        </w:rPr>
        <w:t>des</w:t>
      </w:r>
      <w:r w:rsidRPr="007C738A">
        <w:rPr>
          <w:b/>
          <w:sz w:val="22"/>
          <w:szCs w:val="22"/>
        </w:rPr>
        <w:t>, uzstādot iekārtu un tās garantijas laikā.</w:t>
      </w:r>
    </w:p>
    <w:p w:rsidR="00AC411A" w:rsidRDefault="00AC411A" w:rsidP="00AC411A">
      <w:pPr>
        <w:jc w:val="both"/>
        <w:rPr>
          <w:sz w:val="22"/>
          <w:szCs w:val="22"/>
        </w:rPr>
      </w:pPr>
    </w:p>
    <w:p w:rsidR="00AC411A" w:rsidRPr="00B91CB2" w:rsidRDefault="00AC411A" w:rsidP="00AC411A">
      <w:pPr>
        <w:jc w:val="both"/>
        <w:rPr>
          <w:sz w:val="22"/>
          <w:szCs w:val="22"/>
        </w:rPr>
      </w:pPr>
      <w:r w:rsidRPr="00B91CB2">
        <w:rPr>
          <w:sz w:val="22"/>
          <w:szCs w:val="22"/>
        </w:rPr>
        <w:t>Metināšanas simulācijas apmācības komplekts, kas balstīts uz virtuālās realitātes (VR) sistēmu un  sastāv no metināšanas iekārtas, metināšanas veidiem un pozīciju plāksnēm, metināšanas maskas, metināšanas galda.</w:t>
      </w:r>
    </w:p>
    <w:p w:rsidR="00AC411A" w:rsidRPr="00B91CB2" w:rsidRDefault="00AC411A" w:rsidP="00AC411A">
      <w:pPr>
        <w:jc w:val="both"/>
        <w:rPr>
          <w:sz w:val="22"/>
          <w:szCs w:val="22"/>
        </w:rPr>
      </w:pPr>
    </w:p>
    <w:p w:rsidR="00AC411A" w:rsidRDefault="00AC411A" w:rsidP="00AC411A">
      <w:pPr>
        <w:jc w:val="both"/>
        <w:rPr>
          <w:sz w:val="22"/>
          <w:szCs w:val="22"/>
        </w:rPr>
      </w:pPr>
      <w:r w:rsidRPr="00B91CB2">
        <w:rPr>
          <w:sz w:val="22"/>
          <w:szCs w:val="22"/>
        </w:rPr>
        <w:t>Aprīkojums:</w:t>
      </w:r>
    </w:p>
    <w:p w:rsidR="00AC411A" w:rsidRDefault="00AC411A" w:rsidP="00AC411A">
      <w:pPr>
        <w:jc w:val="both"/>
        <w:rPr>
          <w:sz w:val="22"/>
          <w:szCs w:val="22"/>
        </w:rPr>
      </w:pPr>
      <w:r w:rsidRPr="00A84409">
        <w:rPr>
          <w:sz w:val="22"/>
          <w:szCs w:val="22"/>
        </w:rPr>
        <w:t>Metināšanas simulācijas iekārta vienai mācību darba vietai, kas simulē sekojošus metināšanas procesus, izmantojot paplašinātās realitātes simulācijas tehnoloģiju (nevis 3D tehnologiju).</w:t>
      </w:r>
    </w:p>
    <w:p w:rsidR="00AC411A" w:rsidRPr="00B91CB2" w:rsidRDefault="00AC411A" w:rsidP="00AC411A">
      <w:pPr>
        <w:jc w:val="both"/>
        <w:rPr>
          <w:sz w:val="22"/>
          <w:szCs w:val="22"/>
        </w:rPr>
      </w:pPr>
    </w:p>
    <w:p w:rsidR="00AC411A" w:rsidRDefault="00AC411A" w:rsidP="00AC411A">
      <w:pPr>
        <w:jc w:val="both"/>
        <w:rPr>
          <w:sz w:val="22"/>
          <w:szCs w:val="22"/>
        </w:rPr>
      </w:pPr>
      <w:r w:rsidRPr="00B91CB2">
        <w:rPr>
          <w:sz w:val="22"/>
          <w:szCs w:val="22"/>
        </w:rPr>
        <w:t>Gāzes, metāla, loka un tig tipa un īpaši izstrādātas elektrodu loka metināšanas knaibles (SMA</w:t>
      </w:r>
      <w:r>
        <w:rPr>
          <w:sz w:val="22"/>
          <w:szCs w:val="22"/>
        </w:rPr>
        <w:t>W — elektriskā loka metināšana);</w:t>
      </w:r>
      <w:r w:rsidRPr="00A84409">
        <w:rPr>
          <w:sz w:val="22"/>
          <w:szCs w:val="22"/>
        </w:rPr>
        <w:t xml:space="preserve">MIG/MAG metināšana </w:t>
      </w:r>
      <w:r>
        <w:rPr>
          <w:sz w:val="22"/>
          <w:szCs w:val="22"/>
        </w:rPr>
        <w:t>;</w:t>
      </w:r>
      <w:r w:rsidRPr="00A84409">
        <w:rPr>
          <w:sz w:val="22"/>
          <w:szCs w:val="22"/>
        </w:rPr>
        <w:t>MMA - rokas lokmetināšana - procesā tiek izmantots kūstošais elektrods ar dažādu pārklājumu veidiem</w:t>
      </w:r>
      <w:r>
        <w:rPr>
          <w:sz w:val="22"/>
          <w:szCs w:val="22"/>
        </w:rPr>
        <w:t>;</w:t>
      </w:r>
      <w:r w:rsidRPr="00A84409">
        <w:rPr>
          <w:sz w:val="22"/>
          <w:szCs w:val="22"/>
        </w:rPr>
        <w:t>Volframa inertās gāzes (TIG) metināšana ar/bez pildvielu</w:t>
      </w:r>
    </w:p>
    <w:p w:rsidR="00AC411A" w:rsidRDefault="00AC411A" w:rsidP="00AC411A">
      <w:pPr>
        <w:jc w:val="both"/>
        <w:rPr>
          <w:sz w:val="22"/>
          <w:szCs w:val="22"/>
        </w:rPr>
      </w:pPr>
      <w:r w:rsidRPr="00A84409">
        <w:rPr>
          <w:sz w:val="22"/>
          <w:szCs w:val="22"/>
        </w:rPr>
        <w:t>Metināšana visās metināšanas pozīcijās: PA, PB, PC, PD, PF/PG, PE, PH/PJ, HL045/JL045 - 1F, 2F, 3F, 4F, 5F, 6F, 1G, 2G, 3G, 4G, 5G, 6G HL045 (6G) un 6GR</w:t>
      </w:r>
      <w:r>
        <w:rPr>
          <w:sz w:val="22"/>
          <w:szCs w:val="22"/>
        </w:rPr>
        <w:t>;m</w:t>
      </w:r>
      <w:r w:rsidRPr="00B91CB2">
        <w:rPr>
          <w:sz w:val="22"/>
          <w:szCs w:val="22"/>
        </w:rPr>
        <w:t>etināšana saskaņā ar vismaz 6 metināšanas pozīcijām (V-veida sadursme 6” (150 mm) caurule, V-veida sadures plāksnes, T veida iekšējais stūris, T veida iekšējais stūris 6” (150 mm) sadurcaurule ar plāksni un plāksnes pārklājumu) un taisnās šuves.</w:t>
      </w:r>
    </w:p>
    <w:p w:rsidR="00AC411A" w:rsidRDefault="00AC411A" w:rsidP="00AC411A">
      <w:pPr>
        <w:jc w:val="both"/>
        <w:rPr>
          <w:sz w:val="22"/>
          <w:szCs w:val="22"/>
        </w:rPr>
      </w:pPr>
    </w:p>
    <w:p w:rsidR="00AC411A" w:rsidRPr="00B91CB2" w:rsidRDefault="00AC411A" w:rsidP="00AC411A">
      <w:pPr>
        <w:jc w:val="both"/>
        <w:rPr>
          <w:sz w:val="22"/>
          <w:szCs w:val="22"/>
        </w:rPr>
      </w:pPr>
      <w:r w:rsidRPr="00A84409">
        <w:rPr>
          <w:sz w:val="22"/>
          <w:szCs w:val="22"/>
        </w:rPr>
        <w:t>Aprīkojumā ir jāiekļauj magnētiski optiskie komponenti, kurus var izmantot, lai izveidotu elastīgas apmācības sastāvdaļas vismaz šāda veida metinātām šuvēm: klēpja šuve, saduršuve, kaktašuve, caurules-atloka šuve, caurules-caurules šuve.</w:t>
      </w:r>
    </w:p>
    <w:p w:rsidR="00AC411A" w:rsidRPr="00B91CB2" w:rsidRDefault="00AC411A" w:rsidP="00AC411A">
      <w:pPr>
        <w:jc w:val="both"/>
        <w:rPr>
          <w:sz w:val="22"/>
          <w:szCs w:val="22"/>
        </w:rPr>
      </w:pPr>
    </w:p>
    <w:p w:rsidR="00AC411A" w:rsidRPr="00B91CB2" w:rsidRDefault="00AC411A" w:rsidP="00AC411A">
      <w:pPr>
        <w:jc w:val="both"/>
        <w:rPr>
          <w:sz w:val="22"/>
          <w:szCs w:val="22"/>
        </w:rPr>
      </w:pPr>
      <w:r w:rsidRPr="00B91CB2">
        <w:rPr>
          <w:sz w:val="22"/>
          <w:szCs w:val="22"/>
        </w:rPr>
        <w:t>Jābūt iespējai izmērīt precīzi darba leņķi, padeves ātrumu un leņķi, padeves koordinātas, metināšanas šuvju vadošās līnijas un loka garuma attālumu un iespējai uzreiz apskatīt datus (skaitļus un grafiku).</w:t>
      </w:r>
    </w:p>
    <w:p w:rsidR="00AC411A" w:rsidRPr="00B91CB2" w:rsidRDefault="00AC411A" w:rsidP="00AC411A">
      <w:pPr>
        <w:jc w:val="both"/>
        <w:rPr>
          <w:sz w:val="22"/>
          <w:szCs w:val="22"/>
        </w:rPr>
      </w:pPr>
    </w:p>
    <w:p w:rsidR="00AC411A" w:rsidRPr="00B91CB2" w:rsidRDefault="00AC411A" w:rsidP="00AC411A">
      <w:pPr>
        <w:jc w:val="both"/>
        <w:rPr>
          <w:sz w:val="22"/>
          <w:szCs w:val="22"/>
        </w:rPr>
      </w:pPr>
      <w:r w:rsidRPr="00B91CB2">
        <w:rPr>
          <w:sz w:val="22"/>
          <w:szCs w:val="22"/>
        </w:rPr>
        <w:t>Jānodrošina apstrādājamā priekšmeta biezumu 3 - 10 mm, ar iespēju izvēlēties materiālu (oglekļa tēraudu, nerūsējošo tēraudu un alumīniju).</w:t>
      </w:r>
    </w:p>
    <w:p w:rsidR="00AC411A" w:rsidRPr="00B91CB2" w:rsidRDefault="00AC411A" w:rsidP="00AC411A">
      <w:pPr>
        <w:jc w:val="both"/>
        <w:rPr>
          <w:sz w:val="22"/>
          <w:szCs w:val="22"/>
        </w:rPr>
      </w:pPr>
    </w:p>
    <w:p w:rsidR="00AC411A" w:rsidRPr="00B91CB2" w:rsidRDefault="00AC411A" w:rsidP="00AC411A">
      <w:pPr>
        <w:jc w:val="both"/>
        <w:rPr>
          <w:sz w:val="22"/>
          <w:szCs w:val="22"/>
        </w:rPr>
      </w:pPr>
      <w:r w:rsidRPr="00B91CB2">
        <w:rPr>
          <w:sz w:val="22"/>
          <w:szCs w:val="22"/>
        </w:rPr>
        <w:t>Ir nodrošināta iespēja veikt elektriskā loka metināšanu (SMAW), gāzes metāla loka metināšanu (GMAW-GTAW), lokveida stieples metināšanu (FCAW) un TIG metināšanu.</w:t>
      </w:r>
    </w:p>
    <w:p w:rsidR="00AC411A" w:rsidRPr="00B91CB2" w:rsidRDefault="00AC411A" w:rsidP="00AC411A">
      <w:pPr>
        <w:jc w:val="both"/>
        <w:rPr>
          <w:sz w:val="22"/>
          <w:szCs w:val="22"/>
        </w:rPr>
      </w:pPr>
    </w:p>
    <w:p w:rsidR="00AC411A" w:rsidRDefault="00AC411A" w:rsidP="00AC411A">
      <w:pPr>
        <w:jc w:val="both"/>
        <w:rPr>
          <w:sz w:val="22"/>
          <w:szCs w:val="22"/>
        </w:rPr>
      </w:pPr>
      <w:r w:rsidRPr="00B91CB2">
        <w:rPr>
          <w:sz w:val="22"/>
          <w:szCs w:val="22"/>
        </w:rPr>
        <w:t>CO</w:t>
      </w:r>
      <w:r w:rsidRPr="00B91CB2">
        <w:rPr>
          <w:sz w:val="22"/>
          <w:szCs w:val="22"/>
          <w:vertAlign w:val="subscript"/>
        </w:rPr>
        <w:t>2</w:t>
      </w:r>
      <w:r w:rsidRPr="00B91CB2">
        <w:rPr>
          <w:sz w:val="22"/>
          <w:szCs w:val="22"/>
        </w:rPr>
        <w:t>, ARGON-CO</w:t>
      </w:r>
      <w:r w:rsidRPr="00B91CB2">
        <w:rPr>
          <w:sz w:val="22"/>
          <w:szCs w:val="22"/>
          <w:vertAlign w:val="subscript"/>
        </w:rPr>
        <w:t>2</w:t>
      </w:r>
      <w:r w:rsidRPr="00B91CB2">
        <w:rPr>
          <w:sz w:val="22"/>
          <w:szCs w:val="22"/>
        </w:rPr>
        <w:t xml:space="preserve"> maisījums un ARGON ir jābūt pieejamām kā aizsarggāzēm.</w:t>
      </w:r>
    </w:p>
    <w:p w:rsidR="00AC411A" w:rsidRDefault="00AC411A" w:rsidP="00AC411A">
      <w:pPr>
        <w:jc w:val="both"/>
        <w:rPr>
          <w:sz w:val="22"/>
          <w:szCs w:val="22"/>
        </w:rPr>
      </w:pPr>
    </w:p>
    <w:p w:rsidR="00AC411A" w:rsidRPr="00B91CB2" w:rsidRDefault="00AC411A" w:rsidP="00AC411A">
      <w:pPr>
        <w:jc w:val="both"/>
        <w:rPr>
          <w:sz w:val="22"/>
          <w:szCs w:val="22"/>
        </w:rPr>
      </w:pPr>
      <w:r w:rsidRPr="00A84409">
        <w:rPr>
          <w:sz w:val="22"/>
          <w:szCs w:val="22"/>
        </w:rPr>
        <w:t>Papildus konstrukciju tēraudam kā imitētiem mācību materiāliem jābūt pieejamiem arī alumīnijam un nerūsējošajam tēraudam.</w:t>
      </w:r>
    </w:p>
    <w:p w:rsidR="00AC411A" w:rsidRPr="00A84409" w:rsidRDefault="00AC411A" w:rsidP="00AC411A">
      <w:pPr>
        <w:jc w:val="both"/>
        <w:rPr>
          <w:sz w:val="22"/>
          <w:szCs w:val="22"/>
        </w:rPr>
      </w:pPr>
      <w:r w:rsidRPr="00A84409">
        <w:rPr>
          <w:sz w:val="22"/>
          <w:szCs w:val="22"/>
        </w:rPr>
        <w:t>Programmatūrā integrētajām metināšanas instrukcijām (saskaņā ar ISO 15609) jābūt lietotājam/instruktoram pielāgojamām.</w:t>
      </w:r>
    </w:p>
    <w:p w:rsidR="00AC411A" w:rsidRPr="00B91CB2" w:rsidRDefault="00AC411A" w:rsidP="00AC411A">
      <w:pPr>
        <w:jc w:val="both"/>
        <w:rPr>
          <w:sz w:val="22"/>
          <w:szCs w:val="22"/>
        </w:rPr>
      </w:pPr>
      <w:r w:rsidRPr="00A84409">
        <w:rPr>
          <w:sz w:val="22"/>
          <w:szCs w:val="22"/>
        </w:rPr>
        <w:lastRenderedPageBreak/>
        <w:t>Metināšanas parametriem, piemēram, spriegumam, strāvas stiprumam un gāzei, jābūt individuāli regulējamiem, tieši ietekmējot metināšanas rezultāta simulāciju un reālu blakusefektu, piemēram, metināšanas reālo skaņu, simulāciju.</w:t>
      </w:r>
    </w:p>
    <w:p w:rsidR="00AC411A" w:rsidRDefault="00AC411A" w:rsidP="00AC411A">
      <w:pPr>
        <w:jc w:val="both"/>
        <w:rPr>
          <w:sz w:val="22"/>
          <w:szCs w:val="22"/>
        </w:rPr>
      </w:pPr>
    </w:p>
    <w:p w:rsidR="00AC411A" w:rsidRDefault="00AC411A" w:rsidP="00AC411A">
      <w:pPr>
        <w:jc w:val="both"/>
        <w:rPr>
          <w:sz w:val="22"/>
          <w:szCs w:val="22"/>
        </w:rPr>
      </w:pPr>
      <w:r w:rsidRPr="00B91CB2">
        <w:rPr>
          <w:sz w:val="22"/>
          <w:szCs w:val="22"/>
        </w:rPr>
        <w:t>Jānodrošina reāllaika atgriezeniskā saite par izmantoto metināšanas tehniku, izmantojot vizuālas norādes.</w:t>
      </w:r>
    </w:p>
    <w:p w:rsidR="00AC411A" w:rsidRDefault="00AC411A" w:rsidP="00AC411A">
      <w:pPr>
        <w:jc w:val="both"/>
        <w:rPr>
          <w:sz w:val="22"/>
          <w:szCs w:val="22"/>
        </w:rPr>
      </w:pPr>
    </w:p>
    <w:p w:rsidR="00AC411A" w:rsidRPr="00A84409" w:rsidRDefault="00AC411A" w:rsidP="00AC411A">
      <w:pPr>
        <w:shd w:val="clear" w:color="auto" w:fill="FFFFFF"/>
        <w:spacing w:after="160" w:line="259" w:lineRule="auto"/>
        <w:contextualSpacing/>
        <w:rPr>
          <w:color w:val="333333"/>
        </w:rPr>
      </w:pPr>
      <w:r w:rsidRPr="00A84409">
        <w:rPr>
          <w:color w:val="333333"/>
        </w:rPr>
        <w:t>Metināšanas pasniedzējam jāiekļauj programmatūras e-apmācība ar integrētām zināšanām (metināšanas procesu teorija un darba drošība), kas ļauj apmācāmajiem/dalībniekiem apšaubīt un apgūt teoriju, kas ir tieši saistīta ar apmācāmo metināšanas procesu.</w:t>
      </w:r>
    </w:p>
    <w:p w:rsidR="00AC411A" w:rsidRPr="00A84409" w:rsidRDefault="00AC411A" w:rsidP="00AC411A">
      <w:pPr>
        <w:shd w:val="clear" w:color="auto" w:fill="FFFFFF"/>
        <w:spacing w:after="160" w:line="259" w:lineRule="auto"/>
        <w:contextualSpacing/>
        <w:rPr>
          <w:color w:val="333333"/>
        </w:rPr>
      </w:pPr>
      <w:r w:rsidRPr="00A84409">
        <w:rPr>
          <w:color w:val="333333"/>
        </w:rPr>
        <w:t>Piedāvātajai programmatūrai jābūt lietojamai gan pārlūkprogrammā, gan kā darbvirsmas lietojumprogrammai.</w:t>
      </w:r>
    </w:p>
    <w:p w:rsidR="00AC411A" w:rsidRPr="00A84409" w:rsidRDefault="00AC411A" w:rsidP="00AC411A">
      <w:pPr>
        <w:shd w:val="clear" w:color="auto" w:fill="FFFFFF"/>
        <w:spacing w:after="160" w:line="259" w:lineRule="auto"/>
        <w:contextualSpacing/>
        <w:rPr>
          <w:color w:val="333333"/>
        </w:rPr>
      </w:pPr>
      <w:r w:rsidRPr="00A84409">
        <w:rPr>
          <w:color w:val="333333"/>
        </w:rPr>
        <w:t>Nokārtoto teorijas pārbaudījumu izvērtēšana un uzskaite.</w:t>
      </w:r>
    </w:p>
    <w:p w:rsidR="00AC411A" w:rsidRPr="00B91CB2" w:rsidRDefault="00AC411A" w:rsidP="00AC411A">
      <w:pPr>
        <w:jc w:val="both"/>
        <w:rPr>
          <w:sz w:val="22"/>
          <w:szCs w:val="22"/>
        </w:rPr>
      </w:pPr>
      <w:r w:rsidRPr="00B91CB2">
        <w:rPr>
          <w:sz w:val="22"/>
          <w:szCs w:val="22"/>
        </w:rPr>
        <w:t>Nodrošināta metināšanas programmu uzraudzība un kontrole, kā arī Ethernet vai bezvadu piekļuve visiem datiem ar skolotāja datoru.</w:t>
      </w:r>
    </w:p>
    <w:p w:rsidR="00AC411A" w:rsidRPr="00B91CB2" w:rsidRDefault="00AC411A" w:rsidP="00AC411A">
      <w:pPr>
        <w:jc w:val="both"/>
        <w:rPr>
          <w:sz w:val="22"/>
          <w:szCs w:val="22"/>
        </w:rPr>
      </w:pPr>
      <w:r w:rsidRPr="00A84409">
        <w:rPr>
          <w:sz w:val="22"/>
          <w:szCs w:val="22"/>
        </w:rPr>
        <w:t>Katram metināšanas trenažierim jābūt lokālam tīklam, bez interneta savienojuma, lai pārraidītu mācību materiālus visiem dalībniekiem, kuri izmanto ierīces. Ir jābūt veidam, kā lokāli un fiziski savienot sistēmas kā klases versijas, pēc izvēles arī mākoņdatošanu, kā arī elastīgi izmantot tās kā atsevišķas sistēmas</w:t>
      </w:r>
    </w:p>
    <w:p w:rsidR="00AC411A" w:rsidRPr="00B91CB2" w:rsidRDefault="00AC411A" w:rsidP="00AC411A">
      <w:pPr>
        <w:jc w:val="both"/>
        <w:rPr>
          <w:sz w:val="22"/>
          <w:szCs w:val="22"/>
        </w:rPr>
      </w:pPr>
      <w:r w:rsidRPr="00B91CB2">
        <w:rPr>
          <w:sz w:val="22"/>
          <w:szCs w:val="22"/>
        </w:rPr>
        <w:t>Iespēja regulēt ampērus un voltus atbilstoši metināšanas veidiem un pozīcijām.</w:t>
      </w:r>
    </w:p>
    <w:p w:rsidR="00AC411A" w:rsidRPr="00B91CB2" w:rsidRDefault="00AC411A" w:rsidP="00AC411A">
      <w:pPr>
        <w:jc w:val="both"/>
        <w:rPr>
          <w:sz w:val="22"/>
          <w:szCs w:val="22"/>
        </w:rPr>
      </w:pPr>
    </w:p>
    <w:p w:rsidR="00AC411A" w:rsidRPr="00B91CB2" w:rsidRDefault="00AC411A" w:rsidP="00AC411A">
      <w:pPr>
        <w:jc w:val="both"/>
        <w:rPr>
          <w:sz w:val="22"/>
          <w:szCs w:val="22"/>
        </w:rPr>
      </w:pPr>
      <w:r w:rsidRPr="00B91CB2">
        <w:rPr>
          <w:sz w:val="22"/>
          <w:szCs w:val="22"/>
        </w:rPr>
        <w:t>Papildus lietotāju veiktajiem vingrinājumiem un šo vingrinājumu analīzes rezultātiem simulatora ierīcē ir jābūt iespējai saglabāt vingrinājuma video.</w:t>
      </w:r>
    </w:p>
    <w:p w:rsidR="00AC411A" w:rsidRPr="00B91CB2" w:rsidRDefault="00AC411A" w:rsidP="00AC411A">
      <w:pPr>
        <w:jc w:val="both"/>
        <w:rPr>
          <w:sz w:val="22"/>
          <w:szCs w:val="22"/>
        </w:rPr>
      </w:pPr>
    </w:p>
    <w:p w:rsidR="00AC411A" w:rsidRDefault="00AC411A" w:rsidP="00AC411A">
      <w:pPr>
        <w:jc w:val="both"/>
        <w:rPr>
          <w:sz w:val="22"/>
          <w:szCs w:val="22"/>
        </w:rPr>
      </w:pPr>
      <w:r w:rsidRPr="00B91CB2">
        <w:rPr>
          <w:sz w:val="22"/>
          <w:szCs w:val="22"/>
        </w:rPr>
        <w:t>Ir iespējams veikt vērtēšanu, ņemot vērā, cik labi skolēns metina saskaņā ar skolotāja noteikto metināšanas tehniku.</w:t>
      </w:r>
    </w:p>
    <w:p w:rsidR="00AC411A" w:rsidRPr="00B436E7" w:rsidRDefault="00AC411A" w:rsidP="00AC411A">
      <w:pPr>
        <w:jc w:val="both"/>
        <w:rPr>
          <w:sz w:val="22"/>
          <w:szCs w:val="22"/>
        </w:rPr>
      </w:pPr>
      <w:r w:rsidRPr="00B436E7">
        <w:rPr>
          <w:sz w:val="22"/>
          <w:szCs w:val="22"/>
        </w:rPr>
        <w:t>Visiem praktiskajiem un teorētiskajiem vingrinājumiem jābūt saglabājamiem ar datiem, kas ir pieejami praktikantiem/dalībniekiem un instruktoriem.</w:t>
      </w:r>
    </w:p>
    <w:p w:rsidR="00AC411A" w:rsidRPr="00B436E7" w:rsidRDefault="00AC411A" w:rsidP="00AC411A">
      <w:pPr>
        <w:jc w:val="both"/>
        <w:rPr>
          <w:sz w:val="22"/>
          <w:szCs w:val="22"/>
        </w:rPr>
      </w:pPr>
      <w:r w:rsidRPr="00B436E7">
        <w:rPr>
          <w:sz w:val="22"/>
          <w:szCs w:val="22"/>
        </w:rPr>
        <w:t>Vērtēšanā jābūt iespējai individuāli novērtēt visas attiecīgās roku prasmes (loku, leņķi, attālumu, ātrumu, taisnumu).</w:t>
      </w:r>
    </w:p>
    <w:p w:rsidR="00AC411A" w:rsidRPr="00B436E7" w:rsidRDefault="00AC411A" w:rsidP="00AC411A">
      <w:pPr>
        <w:jc w:val="both"/>
        <w:rPr>
          <w:sz w:val="22"/>
          <w:szCs w:val="22"/>
        </w:rPr>
      </w:pPr>
      <w:r w:rsidRPr="00B436E7">
        <w:rPr>
          <w:sz w:val="22"/>
          <w:szCs w:val="22"/>
        </w:rPr>
        <w:t>Novērtējumā jāspēj arī parādīt izmērus un šķērsgriezumu metinājuma ģeometrijā kā daļu no vēlākas modernizācijas.</w:t>
      </w:r>
    </w:p>
    <w:p w:rsidR="00AC411A" w:rsidRPr="00B436E7" w:rsidRDefault="00AC411A" w:rsidP="00AC411A">
      <w:pPr>
        <w:jc w:val="both"/>
        <w:rPr>
          <w:sz w:val="22"/>
          <w:szCs w:val="22"/>
        </w:rPr>
      </w:pPr>
      <w:r w:rsidRPr="00B436E7">
        <w:rPr>
          <w:sz w:val="22"/>
          <w:szCs w:val="22"/>
        </w:rPr>
        <w:t>Uzglabātajam saturam jābūt statistiski analizējamam. Simulatora programmatūrā jāiekļauj statistikie aprēķini.</w:t>
      </w:r>
    </w:p>
    <w:p w:rsidR="00AC411A" w:rsidRPr="00B91CB2" w:rsidRDefault="00AC411A" w:rsidP="00AC411A">
      <w:pPr>
        <w:jc w:val="both"/>
        <w:rPr>
          <w:sz w:val="22"/>
          <w:szCs w:val="22"/>
        </w:rPr>
      </w:pPr>
      <w:r w:rsidRPr="00B436E7">
        <w:rPr>
          <w:sz w:val="22"/>
          <w:szCs w:val="22"/>
        </w:rPr>
        <w:t>Pēc simulācijas pabeigšanas novērtējumā jāiekļauj lūzuma pārbaude.</w:t>
      </w:r>
    </w:p>
    <w:p w:rsidR="00AC411A" w:rsidRPr="00B91CB2" w:rsidRDefault="00AC411A" w:rsidP="00AC411A">
      <w:pPr>
        <w:jc w:val="both"/>
        <w:rPr>
          <w:sz w:val="22"/>
          <w:szCs w:val="22"/>
        </w:rPr>
      </w:pPr>
      <w:r w:rsidRPr="00B91CB2">
        <w:rPr>
          <w:sz w:val="22"/>
          <w:szCs w:val="22"/>
        </w:rPr>
        <w:t>Studentu mācības vai iespējamās metināšanas kļūdas sistēma var analizēt, ziņot un pārsūtīt uz skolotāja datoru ar simulatora ekrānu.</w:t>
      </w:r>
    </w:p>
    <w:p w:rsidR="00AC411A" w:rsidRPr="00B91CB2" w:rsidRDefault="00AC411A" w:rsidP="00AC411A">
      <w:pPr>
        <w:jc w:val="both"/>
        <w:rPr>
          <w:sz w:val="22"/>
          <w:szCs w:val="22"/>
        </w:rPr>
      </w:pPr>
      <w:r w:rsidRPr="00B91CB2">
        <w:rPr>
          <w:sz w:val="22"/>
          <w:szCs w:val="22"/>
        </w:rPr>
        <w:t>Studenta pielietotā metināšanas tehnika ir parādīta ar grafiku, kurā ir dažādu krāsu līnijas, un šis grafiks sastāv no līnijām, kas pieder pie dažādiem parametriem.</w:t>
      </w:r>
    </w:p>
    <w:p w:rsidR="00AC411A" w:rsidRPr="00B91CB2" w:rsidRDefault="00AC411A" w:rsidP="00AC411A">
      <w:pPr>
        <w:jc w:val="both"/>
        <w:rPr>
          <w:sz w:val="22"/>
          <w:szCs w:val="22"/>
        </w:rPr>
      </w:pPr>
      <w:r w:rsidRPr="00B91CB2">
        <w:rPr>
          <w:sz w:val="22"/>
          <w:szCs w:val="22"/>
        </w:rPr>
        <w:t>Lietotāja novērtēšanai ir punktu sistēma. Ar šīs sistēmas palīdzību var pārbaudīt lietotājus, un ar skolotāja programmatūru lietotājiem var piemērot eksāmenu ar atbilžu variantiem.</w:t>
      </w:r>
    </w:p>
    <w:p w:rsidR="00AC411A" w:rsidRPr="00B91CB2" w:rsidRDefault="00AC411A" w:rsidP="00AC411A">
      <w:pPr>
        <w:jc w:val="both"/>
        <w:rPr>
          <w:sz w:val="22"/>
          <w:szCs w:val="22"/>
        </w:rPr>
      </w:pPr>
    </w:p>
    <w:p w:rsidR="00AC411A" w:rsidRPr="00B91CB2" w:rsidRDefault="00AC411A" w:rsidP="00AC411A">
      <w:pPr>
        <w:jc w:val="both"/>
        <w:rPr>
          <w:sz w:val="22"/>
          <w:szCs w:val="22"/>
        </w:rPr>
      </w:pPr>
      <w:r w:rsidRPr="00B91CB2">
        <w:rPr>
          <w:sz w:val="22"/>
          <w:szCs w:val="22"/>
        </w:rPr>
        <w:t>Iestādāmie parametri: metinātā savienojuma novietojums, attālums starp kontakta sprauslu un sagatavi, darba leņķis, padeves leņķis, padeves ātrums, mērķa sasniegšana, metināšanas porainība, elektrods.  Tiek simulētas situācijas, kad elektrods izkūst un lietošanas laikā var tikt aizstāts ar jaunu, un tiek simulētas izšļakstīšanās situācijas.</w:t>
      </w:r>
    </w:p>
    <w:p w:rsidR="00AC411A" w:rsidRPr="00B91CB2" w:rsidRDefault="00AC411A" w:rsidP="00AC411A">
      <w:pPr>
        <w:jc w:val="both"/>
        <w:rPr>
          <w:sz w:val="22"/>
          <w:szCs w:val="22"/>
        </w:rPr>
      </w:pPr>
    </w:p>
    <w:p w:rsidR="00AC411A" w:rsidRPr="00B91CB2" w:rsidRDefault="00AC411A" w:rsidP="00AC411A">
      <w:pPr>
        <w:jc w:val="both"/>
        <w:rPr>
          <w:sz w:val="22"/>
          <w:szCs w:val="22"/>
        </w:rPr>
      </w:pPr>
      <w:r w:rsidRPr="00B91CB2">
        <w:rPr>
          <w:sz w:val="22"/>
          <w:szCs w:val="22"/>
        </w:rPr>
        <w:t>Pārklājuma metināšanu var veikt no parastas un vienas piegājiena līdz 4 piegājieniem metināšanas simulatorā.</w:t>
      </w:r>
    </w:p>
    <w:p w:rsidR="00AC411A" w:rsidRPr="00B91CB2" w:rsidRDefault="00AC411A" w:rsidP="00AC411A">
      <w:pPr>
        <w:jc w:val="both"/>
        <w:rPr>
          <w:sz w:val="22"/>
          <w:szCs w:val="22"/>
        </w:rPr>
      </w:pPr>
    </w:p>
    <w:p w:rsidR="00AC411A" w:rsidRPr="00B91CB2" w:rsidRDefault="00AC411A" w:rsidP="00AC411A">
      <w:pPr>
        <w:jc w:val="both"/>
        <w:rPr>
          <w:sz w:val="22"/>
          <w:szCs w:val="22"/>
        </w:rPr>
      </w:pPr>
      <w:r w:rsidRPr="00B91CB2">
        <w:rPr>
          <w:sz w:val="22"/>
          <w:szCs w:val="22"/>
        </w:rPr>
        <w:t>Jānodrošina manuālas un automātiskas palaišanas opcijas, vienlaikus simulējot gāzes metāla, apaļstieples un vītņu šuves ar simulatoru.</w:t>
      </w:r>
    </w:p>
    <w:p w:rsidR="00AC411A" w:rsidRPr="00B91CB2" w:rsidRDefault="00AC411A" w:rsidP="00AC411A">
      <w:pPr>
        <w:jc w:val="both"/>
        <w:rPr>
          <w:sz w:val="22"/>
          <w:szCs w:val="22"/>
        </w:rPr>
      </w:pPr>
    </w:p>
    <w:p w:rsidR="00AC411A" w:rsidRPr="00B91CB2" w:rsidRDefault="00AC411A" w:rsidP="00AC411A">
      <w:pPr>
        <w:jc w:val="both"/>
        <w:rPr>
          <w:sz w:val="22"/>
          <w:szCs w:val="22"/>
        </w:rPr>
      </w:pPr>
      <w:r w:rsidRPr="00B91CB2">
        <w:rPr>
          <w:sz w:val="22"/>
          <w:szCs w:val="22"/>
        </w:rPr>
        <w:t>Jābūt pieejamām plakanām, zigzagveida, trīsstūrveida, pusmēness un apļveida metināšanas šuvēm.</w:t>
      </w:r>
    </w:p>
    <w:p w:rsidR="00AC411A" w:rsidRPr="00B91CB2" w:rsidRDefault="00AC411A" w:rsidP="00AC411A">
      <w:pPr>
        <w:jc w:val="both"/>
        <w:rPr>
          <w:sz w:val="22"/>
          <w:szCs w:val="22"/>
        </w:rPr>
      </w:pPr>
      <w:r w:rsidRPr="00B91CB2">
        <w:rPr>
          <w:sz w:val="22"/>
          <w:szCs w:val="22"/>
        </w:rPr>
        <w:t>Izmantojot metināšanas funkciju no labās uz kreiso un no kreisās uz labo pusi, metināšanas iekārtai un programmatūrai ir jābūt piemērotai abiem lietotājiem – gan labročiem, gan kreiļiem.</w:t>
      </w:r>
    </w:p>
    <w:p w:rsidR="00AC411A" w:rsidRPr="00B91CB2" w:rsidRDefault="00AC411A" w:rsidP="00AC411A">
      <w:pPr>
        <w:jc w:val="both"/>
        <w:rPr>
          <w:sz w:val="22"/>
          <w:szCs w:val="22"/>
        </w:rPr>
      </w:pPr>
      <w:r w:rsidRPr="00B91CB2">
        <w:rPr>
          <w:sz w:val="22"/>
          <w:szCs w:val="22"/>
        </w:rPr>
        <w:t>Metināšanas detaļu novietošanai ir regulējams darba statīvs dažādās pozīcijās.</w:t>
      </w:r>
    </w:p>
    <w:p w:rsidR="00AC411A" w:rsidRPr="00B91CB2" w:rsidRDefault="00AC411A" w:rsidP="00AC411A">
      <w:pPr>
        <w:jc w:val="both"/>
        <w:rPr>
          <w:sz w:val="22"/>
          <w:szCs w:val="22"/>
        </w:rPr>
      </w:pPr>
      <w:r w:rsidRPr="00B91CB2">
        <w:rPr>
          <w:sz w:val="22"/>
          <w:szCs w:val="22"/>
        </w:rPr>
        <w:t>Metināšanas maskai ir pietiekams iekšējais dziļums starp maskas ekrānu un pieri, lai to varētu izmantot arī skolēni ar brillēm. Ierīcei ir VR tehnoloģija.</w:t>
      </w:r>
    </w:p>
    <w:p w:rsidR="00AC411A" w:rsidRPr="00B91CB2" w:rsidRDefault="00AC411A" w:rsidP="00AC411A">
      <w:pPr>
        <w:jc w:val="both"/>
        <w:rPr>
          <w:sz w:val="22"/>
          <w:szCs w:val="22"/>
        </w:rPr>
      </w:pPr>
      <w:r w:rsidRPr="00B91CB2">
        <w:rPr>
          <w:sz w:val="22"/>
          <w:szCs w:val="22"/>
        </w:rPr>
        <w:lastRenderedPageBreak/>
        <w:t>Metinot ar elektrodu un apaļstiepli, ir jānodrošina korpusa tīrīšanas funkcija, lai varētu novērot metinājumu  pirms un pēc metināšanas apvalka noņemšanas.</w:t>
      </w:r>
    </w:p>
    <w:p w:rsidR="00AC411A" w:rsidRDefault="00AC411A" w:rsidP="00AC411A">
      <w:pPr>
        <w:jc w:val="both"/>
        <w:rPr>
          <w:sz w:val="22"/>
          <w:szCs w:val="22"/>
        </w:rPr>
      </w:pPr>
      <w:r w:rsidRPr="00B91CB2">
        <w:rPr>
          <w:sz w:val="22"/>
          <w:szCs w:val="22"/>
        </w:rPr>
        <w:t>Metināšanas simulatoram ir jābūt licencētai skolotāju programmatūrai. Programmatūru iespējams atjaunināt atbilstoši tehnoloģiskajām prasībām.</w:t>
      </w:r>
    </w:p>
    <w:p w:rsidR="00AC411A" w:rsidRPr="00B91CB2" w:rsidRDefault="00AC411A" w:rsidP="00AC411A">
      <w:pPr>
        <w:jc w:val="both"/>
        <w:rPr>
          <w:sz w:val="22"/>
          <w:szCs w:val="22"/>
        </w:rPr>
      </w:pPr>
      <w:r w:rsidRPr="00B436E7">
        <w:rPr>
          <w:sz w:val="22"/>
          <w:szCs w:val="22"/>
        </w:rPr>
        <w:t>Drošai transportēšanai, sūtījumā ir jāiekļauj vismaz 1 slēdzama transportēšanas kastīte individuālai sistēmai.</w:t>
      </w:r>
    </w:p>
    <w:p w:rsidR="00AC411A" w:rsidRPr="00B91CB2" w:rsidRDefault="00AC411A" w:rsidP="00AC411A">
      <w:pPr>
        <w:jc w:val="both"/>
        <w:rPr>
          <w:sz w:val="22"/>
          <w:szCs w:val="22"/>
        </w:rPr>
      </w:pPr>
    </w:p>
    <w:tbl>
      <w:tblPr>
        <w:tblW w:w="10213" w:type="dxa"/>
        <w:tblInd w:w="-459" w:type="dxa"/>
        <w:tblLook w:val="04A0" w:firstRow="1" w:lastRow="0" w:firstColumn="1" w:lastColumn="0" w:noHBand="0" w:noVBand="1"/>
      </w:tblPr>
      <w:tblGrid>
        <w:gridCol w:w="903"/>
        <w:gridCol w:w="2948"/>
        <w:gridCol w:w="3402"/>
        <w:gridCol w:w="2960"/>
      </w:tblGrid>
      <w:tr w:rsidR="00AC411A" w:rsidRPr="00B91CB2" w:rsidTr="007E401F">
        <w:trPr>
          <w:trHeight w:val="525"/>
        </w:trPr>
        <w:tc>
          <w:tcPr>
            <w:tcW w:w="903" w:type="dxa"/>
            <w:tcBorders>
              <w:top w:val="single" w:sz="8" w:space="0" w:color="auto"/>
              <w:left w:val="single" w:sz="8" w:space="0" w:color="auto"/>
              <w:bottom w:val="single" w:sz="4" w:space="0" w:color="auto"/>
              <w:right w:val="single" w:sz="4" w:space="0" w:color="auto"/>
            </w:tcBorders>
            <w:noWrap/>
            <w:vAlign w:val="center"/>
            <w:hideMark/>
          </w:tcPr>
          <w:p w:rsidR="00AC411A" w:rsidRPr="00B91CB2" w:rsidRDefault="00AC411A" w:rsidP="007E401F">
            <w:pPr>
              <w:jc w:val="center"/>
              <w:rPr>
                <w:b/>
                <w:bCs/>
                <w:i/>
                <w:iCs/>
                <w:sz w:val="22"/>
                <w:szCs w:val="22"/>
              </w:rPr>
            </w:pPr>
            <w:r w:rsidRPr="00B91CB2">
              <w:rPr>
                <w:b/>
                <w:bCs/>
                <w:i/>
                <w:iCs/>
                <w:sz w:val="22"/>
                <w:szCs w:val="22"/>
              </w:rPr>
              <w:t>Nr.p.k.</w:t>
            </w:r>
          </w:p>
        </w:tc>
        <w:tc>
          <w:tcPr>
            <w:tcW w:w="2948" w:type="dxa"/>
            <w:tcBorders>
              <w:top w:val="single" w:sz="8" w:space="0" w:color="auto"/>
              <w:left w:val="nil"/>
              <w:bottom w:val="single" w:sz="4" w:space="0" w:color="auto"/>
              <w:right w:val="single" w:sz="4" w:space="0" w:color="auto"/>
            </w:tcBorders>
            <w:vAlign w:val="center"/>
            <w:hideMark/>
          </w:tcPr>
          <w:p w:rsidR="00AC411A" w:rsidRPr="00B91CB2" w:rsidRDefault="00AC411A" w:rsidP="007E401F">
            <w:pPr>
              <w:jc w:val="center"/>
              <w:rPr>
                <w:b/>
                <w:bCs/>
                <w:i/>
                <w:iCs/>
                <w:sz w:val="22"/>
                <w:szCs w:val="22"/>
                <w:u w:val="single"/>
              </w:rPr>
            </w:pPr>
            <w:r w:rsidRPr="00B91CB2">
              <w:rPr>
                <w:b/>
                <w:bCs/>
                <w:i/>
                <w:iCs/>
                <w:sz w:val="22"/>
                <w:szCs w:val="22"/>
                <w:u w:val="single"/>
              </w:rPr>
              <w:t xml:space="preserve"> Tehniskie parametri:</w:t>
            </w:r>
          </w:p>
        </w:tc>
        <w:tc>
          <w:tcPr>
            <w:tcW w:w="3402" w:type="dxa"/>
            <w:tcBorders>
              <w:top w:val="single" w:sz="8" w:space="0" w:color="auto"/>
              <w:left w:val="nil"/>
              <w:bottom w:val="single" w:sz="4" w:space="0" w:color="auto"/>
              <w:right w:val="single" w:sz="8" w:space="0" w:color="auto"/>
            </w:tcBorders>
            <w:vAlign w:val="center"/>
            <w:hideMark/>
          </w:tcPr>
          <w:p w:rsidR="00AC411A" w:rsidRPr="00B91CB2" w:rsidRDefault="00AC411A" w:rsidP="007E401F">
            <w:pPr>
              <w:jc w:val="center"/>
              <w:rPr>
                <w:b/>
                <w:bCs/>
                <w:i/>
                <w:iCs/>
                <w:sz w:val="22"/>
                <w:szCs w:val="22"/>
                <w:u w:val="single"/>
              </w:rPr>
            </w:pPr>
            <w:r w:rsidRPr="00B91CB2">
              <w:rPr>
                <w:b/>
                <w:bCs/>
                <w:i/>
                <w:iCs/>
                <w:sz w:val="22"/>
                <w:szCs w:val="22"/>
                <w:u w:val="single"/>
              </w:rPr>
              <w:t>Atbilstības prasības:</w:t>
            </w:r>
          </w:p>
        </w:tc>
        <w:tc>
          <w:tcPr>
            <w:tcW w:w="2960" w:type="dxa"/>
            <w:tcBorders>
              <w:top w:val="single" w:sz="8" w:space="0" w:color="auto"/>
              <w:left w:val="single" w:sz="4" w:space="0" w:color="auto"/>
              <w:bottom w:val="single" w:sz="4" w:space="0" w:color="auto"/>
              <w:right w:val="single" w:sz="8" w:space="0" w:color="auto"/>
            </w:tcBorders>
            <w:vAlign w:val="center"/>
            <w:hideMark/>
          </w:tcPr>
          <w:p w:rsidR="00AC411A" w:rsidRPr="00B91CB2" w:rsidRDefault="00AC411A" w:rsidP="007E401F">
            <w:pPr>
              <w:jc w:val="center"/>
              <w:rPr>
                <w:bCs/>
                <w:i/>
                <w:iCs/>
                <w:sz w:val="22"/>
                <w:szCs w:val="22"/>
                <w:highlight w:val="yellow"/>
                <w:u w:val="single"/>
              </w:rPr>
            </w:pPr>
            <w:r w:rsidRPr="00B91CB2">
              <w:rPr>
                <w:b/>
                <w:bCs/>
                <w:i/>
                <w:iCs/>
                <w:sz w:val="22"/>
                <w:szCs w:val="22"/>
                <w:u w:val="single"/>
              </w:rPr>
              <w:t>Pretendenta piedāvājums:</w:t>
            </w:r>
          </w:p>
        </w:tc>
      </w:tr>
      <w:tr w:rsidR="00AC411A" w:rsidRPr="00B91CB2" w:rsidTr="007E401F">
        <w:trPr>
          <w:trHeight w:val="525"/>
        </w:trPr>
        <w:tc>
          <w:tcPr>
            <w:tcW w:w="903" w:type="dxa"/>
            <w:tcBorders>
              <w:top w:val="single" w:sz="8" w:space="0" w:color="auto"/>
              <w:left w:val="single" w:sz="8" w:space="0" w:color="auto"/>
              <w:bottom w:val="single" w:sz="4" w:space="0" w:color="auto"/>
              <w:right w:val="single" w:sz="4" w:space="0" w:color="auto"/>
            </w:tcBorders>
            <w:noWrap/>
            <w:vAlign w:val="center"/>
          </w:tcPr>
          <w:p w:rsidR="00AC411A" w:rsidRPr="00B91CB2" w:rsidRDefault="00AC411A" w:rsidP="00AC411A">
            <w:pPr>
              <w:pStyle w:val="ListParagraph"/>
              <w:numPr>
                <w:ilvl w:val="0"/>
                <w:numId w:val="1"/>
              </w:numPr>
              <w:suppressAutoHyphens w:val="0"/>
              <w:contextualSpacing w:val="0"/>
              <w:jc w:val="center"/>
              <w:rPr>
                <w:b/>
                <w:bCs/>
                <w:i/>
                <w:iCs/>
                <w:sz w:val="22"/>
                <w:szCs w:val="22"/>
              </w:rPr>
            </w:pPr>
          </w:p>
        </w:tc>
        <w:tc>
          <w:tcPr>
            <w:tcW w:w="2948" w:type="dxa"/>
            <w:tcBorders>
              <w:top w:val="single" w:sz="8" w:space="0" w:color="auto"/>
              <w:left w:val="nil"/>
              <w:bottom w:val="single" w:sz="4" w:space="0" w:color="auto"/>
              <w:right w:val="single" w:sz="4" w:space="0" w:color="auto"/>
            </w:tcBorders>
            <w:vAlign w:val="center"/>
          </w:tcPr>
          <w:p w:rsidR="00AC411A" w:rsidRPr="00B91CB2" w:rsidRDefault="00AC411A" w:rsidP="007E401F">
            <w:pPr>
              <w:jc w:val="center"/>
              <w:rPr>
                <w:b/>
                <w:bCs/>
                <w:i/>
                <w:iCs/>
                <w:sz w:val="22"/>
                <w:szCs w:val="22"/>
                <w:u w:val="single"/>
              </w:rPr>
            </w:pPr>
            <w:r w:rsidRPr="00B91CB2">
              <w:rPr>
                <w:b/>
                <w:sz w:val="22"/>
                <w:szCs w:val="22"/>
              </w:rPr>
              <w:t>Papildinātās realitātes metināšanas iekārta</w:t>
            </w:r>
          </w:p>
        </w:tc>
        <w:tc>
          <w:tcPr>
            <w:tcW w:w="3402" w:type="dxa"/>
            <w:tcBorders>
              <w:top w:val="single" w:sz="8" w:space="0" w:color="auto"/>
              <w:left w:val="nil"/>
              <w:bottom w:val="single" w:sz="4" w:space="0" w:color="auto"/>
              <w:right w:val="single" w:sz="8" w:space="0" w:color="auto"/>
            </w:tcBorders>
            <w:vAlign w:val="center"/>
          </w:tcPr>
          <w:p w:rsidR="00AC411A" w:rsidRPr="00B91CB2" w:rsidRDefault="00AC411A" w:rsidP="007E401F">
            <w:pPr>
              <w:jc w:val="center"/>
              <w:rPr>
                <w:b/>
                <w:bCs/>
                <w:i/>
                <w:iCs/>
                <w:sz w:val="22"/>
                <w:szCs w:val="22"/>
                <w:u w:val="single"/>
              </w:rPr>
            </w:pPr>
          </w:p>
        </w:tc>
        <w:tc>
          <w:tcPr>
            <w:tcW w:w="2960" w:type="dxa"/>
            <w:tcBorders>
              <w:top w:val="single" w:sz="8" w:space="0" w:color="auto"/>
              <w:left w:val="single" w:sz="4" w:space="0" w:color="auto"/>
              <w:bottom w:val="single" w:sz="4" w:space="0" w:color="auto"/>
              <w:right w:val="single" w:sz="8" w:space="0" w:color="auto"/>
            </w:tcBorders>
            <w:vAlign w:val="center"/>
          </w:tcPr>
          <w:p w:rsidR="00AC411A" w:rsidRPr="00B91CB2" w:rsidRDefault="00AC411A" w:rsidP="007E401F">
            <w:pPr>
              <w:jc w:val="center"/>
              <w:rPr>
                <w:bCs/>
                <w:i/>
                <w:iCs/>
                <w:sz w:val="22"/>
                <w:szCs w:val="22"/>
              </w:rPr>
            </w:pPr>
            <w:r w:rsidRPr="00B91CB2">
              <w:rPr>
                <w:bCs/>
                <w:i/>
                <w:iCs/>
                <w:sz w:val="22"/>
                <w:szCs w:val="22"/>
              </w:rPr>
              <w:t>Pretendents norāda piedāvātās iekārtas ražotāju un modeli, kā arī norāda (saiti (linku) uz mājaslapu*, kurā norādīti piedāvātās iekārtas tehniskie dati)</w:t>
            </w:r>
          </w:p>
        </w:tc>
      </w:tr>
      <w:tr w:rsidR="00AC411A" w:rsidRPr="00B91CB2" w:rsidTr="007E401F">
        <w:trPr>
          <w:trHeight w:val="300"/>
        </w:trPr>
        <w:tc>
          <w:tcPr>
            <w:tcW w:w="903" w:type="dxa"/>
            <w:tcBorders>
              <w:top w:val="nil"/>
              <w:left w:val="single" w:sz="8" w:space="0" w:color="auto"/>
              <w:bottom w:val="single" w:sz="4" w:space="0" w:color="auto"/>
              <w:right w:val="single" w:sz="4" w:space="0" w:color="auto"/>
            </w:tcBorders>
            <w:noWrap/>
            <w:vAlign w:val="center"/>
          </w:tcPr>
          <w:p w:rsidR="00AC411A" w:rsidRPr="00B91CB2" w:rsidRDefault="00AC411A" w:rsidP="00AC411A">
            <w:pPr>
              <w:pStyle w:val="ListParagraph"/>
              <w:numPr>
                <w:ilvl w:val="1"/>
                <w:numId w:val="1"/>
              </w:numPr>
              <w:suppressAutoHyphens w:val="0"/>
              <w:contextualSpacing w:val="0"/>
              <w:rPr>
                <w:sz w:val="22"/>
                <w:szCs w:val="22"/>
              </w:rPr>
            </w:pPr>
          </w:p>
        </w:tc>
        <w:tc>
          <w:tcPr>
            <w:tcW w:w="2948" w:type="dxa"/>
            <w:tcBorders>
              <w:top w:val="nil"/>
              <w:left w:val="nil"/>
              <w:bottom w:val="single" w:sz="4" w:space="0" w:color="auto"/>
              <w:right w:val="single" w:sz="4" w:space="0" w:color="auto"/>
            </w:tcBorders>
            <w:noWrap/>
            <w:vAlign w:val="center"/>
          </w:tcPr>
          <w:p w:rsidR="00AC411A" w:rsidRPr="00B91CB2" w:rsidRDefault="00AC411A" w:rsidP="007E401F">
            <w:pPr>
              <w:rPr>
                <w:sz w:val="22"/>
                <w:szCs w:val="22"/>
              </w:rPr>
            </w:pPr>
            <w:r w:rsidRPr="00B91CB2">
              <w:rPr>
                <w:bCs/>
                <w:iCs/>
                <w:sz w:val="22"/>
                <w:szCs w:val="22"/>
              </w:rPr>
              <w:t>Atbalstītie metināšanas procesi</w:t>
            </w:r>
          </w:p>
        </w:tc>
        <w:tc>
          <w:tcPr>
            <w:tcW w:w="3402" w:type="dxa"/>
            <w:tcBorders>
              <w:top w:val="nil"/>
              <w:left w:val="nil"/>
              <w:bottom w:val="single" w:sz="4" w:space="0" w:color="auto"/>
              <w:right w:val="single" w:sz="8" w:space="0" w:color="auto"/>
            </w:tcBorders>
            <w:vAlign w:val="center"/>
          </w:tcPr>
          <w:p w:rsidR="00AC411A" w:rsidRPr="00B91CB2" w:rsidRDefault="00AC411A" w:rsidP="007E401F">
            <w:pPr>
              <w:jc w:val="center"/>
              <w:rPr>
                <w:bCs/>
                <w:iCs/>
                <w:sz w:val="22"/>
                <w:szCs w:val="22"/>
              </w:rPr>
            </w:pPr>
            <w:r w:rsidRPr="00B91CB2">
              <w:rPr>
                <w:bCs/>
                <w:iCs/>
                <w:sz w:val="22"/>
                <w:szCs w:val="22"/>
              </w:rPr>
              <w:t>SMAW</w:t>
            </w:r>
          </w:p>
          <w:p w:rsidR="00AC411A" w:rsidRPr="00B91CB2" w:rsidRDefault="00AC411A" w:rsidP="007E401F">
            <w:pPr>
              <w:jc w:val="center"/>
              <w:rPr>
                <w:bCs/>
                <w:iCs/>
                <w:sz w:val="22"/>
                <w:szCs w:val="22"/>
              </w:rPr>
            </w:pPr>
            <w:r w:rsidRPr="00B91CB2">
              <w:rPr>
                <w:bCs/>
                <w:iCs/>
                <w:sz w:val="22"/>
                <w:szCs w:val="22"/>
              </w:rPr>
              <w:t>GMAW-GTAW</w:t>
            </w:r>
          </w:p>
          <w:p w:rsidR="00AC411A" w:rsidRPr="00B91CB2" w:rsidRDefault="00AC411A" w:rsidP="007E401F">
            <w:pPr>
              <w:jc w:val="center"/>
              <w:rPr>
                <w:bCs/>
                <w:iCs/>
                <w:sz w:val="22"/>
                <w:szCs w:val="22"/>
              </w:rPr>
            </w:pPr>
            <w:r w:rsidRPr="00B91CB2">
              <w:rPr>
                <w:bCs/>
                <w:iCs/>
                <w:sz w:val="22"/>
                <w:szCs w:val="22"/>
              </w:rPr>
              <w:t>FCAW</w:t>
            </w:r>
          </w:p>
          <w:p w:rsidR="00AC411A" w:rsidRDefault="00AC411A" w:rsidP="007E401F">
            <w:pPr>
              <w:jc w:val="center"/>
              <w:rPr>
                <w:bCs/>
                <w:iCs/>
                <w:sz w:val="22"/>
                <w:szCs w:val="22"/>
              </w:rPr>
            </w:pPr>
            <w:r w:rsidRPr="00B91CB2">
              <w:rPr>
                <w:bCs/>
                <w:iCs/>
                <w:sz w:val="22"/>
                <w:szCs w:val="22"/>
              </w:rPr>
              <w:t>TIG</w:t>
            </w:r>
          </w:p>
          <w:p w:rsidR="00AC411A" w:rsidRDefault="00AC411A" w:rsidP="007E401F">
            <w:pPr>
              <w:jc w:val="center"/>
              <w:rPr>
                <w:sz w:val="22"/>
                <w:szCs w:val="22"/>
              </w:rPr>
            </w:pPr>
            <w:r w:rsidRPr="00A84409">
              <w:rPr>
                <w:sz w:val="22"/>
                <w:szCs w:val="22"/>
              </w:rPr>
              <w:t>MIG/MAG</w:t>
            </w:r>
          </w:p>
          <w:p w:rsidR="00AC411A" w:rsidRPr="00B91CB2" w:rsidRDefault="00AC411A" w:rsidP="007E401F">
            <w:pPr>
              <w:jc w:val="center"/>
              <w:rPr>
                <w:sz w:val="22"/>
                <w:szCs w:val="22"/>
              </w:rPr>
            </w:pPr>
            <w:r w:rsidRPr="00B436E7">
              <w:rPr>
                <w:sz w:val="22"/>
                <w:szCs w:val="22"/>
              </w:rPr>
              <w:t>MMA</w:t>
            </w:r>
          </w:p>
        </w:tc>
        <w:tc>
          <w:tcPr>
            <w:tcW w:w="2960" w:type="dxa"/>
            <w:tcBorders>
              <w:top w:val="nil"/>
              <w:left w:val="single" w:sz="4" w:space="0" w:color="auto"/>
              <w:bottom w:val="single" w:sz="4" w:space="0" w:color="auto"/>
              <w:right w:val="single" w:sz="8" w:space="0" w:color="auto"/>
            </w:tcBorders>
            <w:vAlign w:val="center"/>
          </w:tcPr>
          <w:p w:rsidR="00AC411A" w:rsidRPr="00B91CB2" w:rsidRDefault="00AC411A" w:rsidP="007E401F">
            <w:pPr>
              <w:rPr>
                <w:sz w:val="22"/>
                <w:szCs w:val="22"/>
              </w:rPr>
            </w:pPr>
          </w:p>
        </w:tc>
      </w:tr>
      <w:tr w:rsidR="00AC411A" w:rsidRPr="00B91CB2" w:rsidTr="007E401F">
        <w:trPr>
          <w:trHeight w:val="300"/>
        </w:trPr>
        <w:tc>
          <w:tcPr>
            <w:tcW w:w="903" w:type="dxa"/>
            <w:tcBorders>
              <w:top w:val="nil"/>
              <w:left w:val="single" w:sz="8" w:space="0" w:color="auto"/>
              <w:bottom w:val="single" w:sz="4" w:space="0" w:color="auto"/>
              <w:right w:val="single" w:sz="4" w:space="0" w:color="auto"/>
            </w:tcBorders>
            <w:noWrap/>
            <w:vAlign w:val="center"/>
          </w:tcPr>
          <w:p w:rsidR="00AC411A" w:rsidRPr="00B91CB2" w:rsidRDefault="00AC411A" w:rsidP="00AC411A">
            <w:pPr>
              <w:pStyle w:val="ListParagraph"/>
              <w:numPr>
                <w:ilvl w:val="1"/>
                <w:numId w:val="1"/>
              </w:numPr>
              <w:suppressAutoHyphens w:val="0"/>
              <w:contextualSpacing w:val="0"/>
              <w:rPr>
                <w:sz w:val="22"/>
                <w:szCs w:val="22"/>
              </w:rPr>
            </w:pPr>
          </w:p>
        </w:tc>
        <w:tc>
          <w:tcPr>
            <w:tcW w:w="2948" w:type="dxa"/>
            <w:tcBorders>
              <w:top w:val="nil"/>
              <w:left w:val="nil"/>
              <w:bottom w:val="single" w:sz="4" w:space="0" w:color="auto"/>
              <w:right w:val="single" w:sz="4" w:space="0" w:color="auto"/>
            </w:tcBorders>
            <w:noWrap/>
            <w:vAlign w:val="center"/>
          </w:tcPr>
          <w:p w:rsidR="00AC411A" w:rsidRPr="00B91CB2" w:rsidRDefault="00AC411A" w:rsidP="007E401F">
            <w:pPr>
              <w:rPr>
                <w:sz w:val="22"/>
                <w:szCs w:val="22"/>
              </w:rPr>
            </w:pPr>
            <w:r w:rsidRPr="00B91CB2">
              <w:rPr>
                <w:bCs/>
                <w:iCs/>
                <w:sz w:val="22"/>
                <w:szCs w:val="22"/>
              </w:rPr>
              <w:t>Metināšanas pozīcijas</w:t>
            </w:r>
          </w:p>
        </w:tc>
        <w:tc>
          <w:tcPr>
            <w:tcW w:w="3402" w:type="dxa"/>
            <w:tcBorders>
              <w:top w:val="nil"/>
              <w:left w:val="nil"/>
              <w:bottom w:val="single" w:sz="4" w:space="0" w:color="auto"/>
              <w:right w:val="single" w:sz="8" w:space="0" w:color="auto"/>
            </w:tcBorders>
            <w:vAlign w:val="center"/>
          </w:tcPr>
          <w:p w:rsidR="00AC411A" w:rsidRPr="00B91CB2" w:rsidRDefault="00AC411A" w:rsidP="007E401F">
            <w:pPr>
              <w:jc w:val="center"/>
              <w:rPr>
                <w:sz w:val="22"/>
                <w:szCs w:val="22"/>
              </w:rPr>
            </w:pPr>
            <w:r w:rsidRPr="00B91CB2">
              <w:rPr>
                <w:bCs/>
                <w:iCs/>
                <w:sz w:val="22"/>
                <w:szCs w:val="22"/>
              </w:rPr>
              <w:t>PA, PB, PC, PD, PF/PG, PE, PH/PJ, 2F, 3F, 4F, 1G, 2G, 3G, 4G, 5G, 5F</w:t>
            </w:r>
            <w:r w:rsidRPr="00B436E7">
              <w:rPr>
                <w:bCs/>
                <w:iCs/>
                <w:sz w:val="22"/>
                <w:szCs w:val="22"/>
              </w:rPr>
              <w:t>1G, 2G, 3G, 4G, 5G, 6G HL045 (6G) un 6GR</w:t>
            </w:r>
          </w:p>
        </w:tc>
        <w:tc>
          <w:tcPr>
            <w:tcW w:w="2960" w:type="dxa"/>
            <w:tcBorders>
              <w:top w:val="nil"/>
              <w:left w:val="single" w:sz="4" w:space="0" w:color="auto"/>
              <w:bottom w:val="single" w:sz="4" w:space="0" w:color="auto"/>
              <w:right w:val="single" w:sz="8" w:space="0" w:color="auto"/>
            </w:tcBorders>
            <w:vAlign w:val="center"/>
          </w:tcPr>
          <w:p w:rsidR="00AC411A" w:rsidRPr="00B91CB2" w:rsidRDefault="00AC411A" w:rsidP="007E401F">
            <w:pPr>
              <w:rPr>
                <w:sz w:val="22"/>
                <w:szCs w:val="22"/>
              </w:rPr>
            </w:pPr>
          </w:p>
        </w:tc>
      </w:tr>
      <w:tr w:rsidR="00AC411A" w:rsidRPr="00B91CB2" w:rsidTr="007E401F">
        <w:trPr>
          <w:trHeight w:val="300"/>
        </w:trPr>
        <w:tc>
          <w:tcPr>
            <w:tcW w:w="903" w:type="dxa"/>
            <w:tcBorders>
              <w:top w:val="nil"/>
              <w:left w:val="single" w:sz="8" w:space="0" w:color="auto"/>
              <w:bottom w:val="single" w:sz="4" w:space="0" w:color="auto"/>
              <w:right w:val="single" w:sz="4" w:space="0" w:color="auto"/>
            </w:tcBorders>
            <w:noWrap/>
            <w:vAlign w:val="center"/>
          </w:tcPr>
          <w:p w:rsidR="00AC411A" w:rsidRPr="00B91CB2" w:rsidRDefault="00AC411A" w:rsidP="00AC411A">
            <w:pPr>
              <w:pStyle w:val="ListParagraph"/>
              <w:numPr>
                <w:ilvl w:val="1"/>
                <w:numId w:val="1"/>
              </w:numPr>
              <w:suppressAutoHyphens w:val="0"/>
              <w:contextualSpacing w:val="0"/>
              <w:rPr>
                <w:sz w:val="22"/>
                <w:szCs w:val="22"/>
              </w:rPr>
            </w:pPr>
          </w:p>
        </w:tc>
        <w:tc>
          <w:tcPr>
            <w:tcW w:w="2948" w:type="dxa"/>
            <w:tcBorders>
              <w:top w:val="nil"/>
              <w:left w:val="nil"/>
              <w:bottom w:val="single" w:sz="4" w:space="0" w:color="auto"/>
              <w:right w:val="single" w:sz="4" w:space="0" w:color="auto"/>
            </w:tcBorders>
            <w:noWrap/>
            <w:vAlign w:val="center"/>
          </w:tcPr>
          <w:p w:rsidR="00AC411A" w:rsidRPr="00B91CB2" w:rsidRDefault="00AC411A" w:rsidP="007E401F">
            <w:pPr>
              <w:rPr>
                <w:sz w:val="22"/>
                <w:szCs w:val="22"/>
              </w:rPr>
            </w:pPr>
            <w:r w:rsidRPr="00B91CB2">
              <w:rPr>
                <w:bCs/>
                <w:iCs/>
                <w:sz w:val="22"/>
                <w:szCs w:val="22"/>
              </w:rPr>
              <w:t>Metināšanas savienojumi</w:t>
            </w:r>
          </w:p>
        </w:tc>
        <w:tc>
          <w:tcPr>
            <w:tcW w:w="3402" w:type="dxa"/>
            <w:tcBorders>
              <w:top w:val="nil"/>
              <w:left w:val="nil"/>
              <w:bottom w:val="single" w:sz="4" w:space="0" w:color="auto"/>
              <w:right w:val="single" w:sz="8" w:space="0" w:color="auto"/>
            </w:tcBorders>
            <w:vAlign w:val="center"/>
          </w:tcPr>
          <w:p w:rsidR="00AC411A" w:rsidRPr="00B91CB2" w:rsidRDefault="00AC411A" w:rsidP="007E401F">
            <w:pPr>
              <w:jc w:val="center"/>
              <w:rPr>
                <w:sz w:val="22"/>
                <w:szCs w:val="22"/>
              </w:rPr>
            </w:pPr>
            <w:r w:rsidRPr="00B91CB2">
              <w:rPr>
                <w:bCs/>
                <w:iCs/>
                <w:sz w:val="22"/>
                <w:szCs w:val="22"/>
              </w:rPr>
              <w:t>V-sadura plāksne, V-sadura 6” plāksne, pārseguma plāksne, T-leņķa plāksne, T-leņķa plāksne, T-leņķa 6” caurule uz plāksni</w:t>
            </w:r>
          </w:p>
        </w:tc>
        <w:tc>
          <w:tcPr>
            <w:tcW w:w="2960" w:type="dxa"/>
            <w:tcBorders>
              <w:top w:val="nil"/>
              <w:left w:val="single" w:sz="4" w:space="0" w:color="auto"/>
              <w:bottom w:val="single" w:sz="4" w:space="0" w:color="auto"/>
              <w:right w:val="single" w:sz="8" w:space="0" w:color="auto"/>
            </w:tcBorders>
            <w:vAlign w:val="center"/>
          </w:tcPr>
          <w:p w:rsidR="00AC411A" w:rsidRPr="00B91CB2" w:rsidRDefault="00AC411A" w:rsidP="007E401F">
            <w:pPr>
              <w:rPr>
                <w:sz w:val="22"/>
                <w:szCs w:val="22"/>
              </w:rPr>
            </w:pPr>
          </w:p>
        </w:tc>
      </w:tr>
      <w:tr w:rsidR="00AC411A" w:rsidRPr="00B91CB2" w:rsidTr="007E401F">
        <w:trPr>
          <w:trHeight w:val="300"/>
        </w:trPr>
        <w:tc>
          <w:tcPr>
            <w:tcW w:w="903" w:type="dxa"/>
            <w:tcBorders>
              <w:top w:val="nil"/>
              <w:left w:val="single" w:sz="8" w:space="0" w:color="auto"/>
              <w:bottom w:val="single" w:sz="4" w:space="0" w:color="auto"/>
              <w:right w:val="single" w:sz="4" w:space="0" w:color="auto"/>
            </w:tcBorders>
            <w:noWrap/>
            <w:vAlign w:val="center"/>
          </w:tcPr>
          <w:p w:rsidR="00AC411A" w:rsidRPr="00B91CB2" w:rsidRDefault="00AC411A" w:rsidP="00AC411A">
            <w:pPr>
              <w:pStyle w:val="ListParagraph"/>
              <w:numPr>
                <w:ilvl w:val="1"/>
                <w:numId w:val="1"/>
              </w:numPr>
              <w:suppressAutoHyphens w:val="0"/>
              <w:contextualSpacing w:val="0"/>
              <w:rPr>
                <w:sz w:val="22"/>
                <w:szCs w:val="22"/>
              </w:rPr>
            </w:pPr>
          </w:p>
        </w:tc>
        <w:tc>
          <w:tcPr>
            <w:tcW w:w="2948" w:type="dxa"/>
            <w:tcBorders>
              <w:top w:val="nil"/>
              <w:left w:val="nil"/>
              <w:bottom w:val="single" w:sz="4" w:space="0" w:color="auto"/>
              <w:right w:val="single" w:sz="4" w:space="0" w:color="auto"/>
            </w:tcBorders>
            <w:noWrap/>
            <w:vAlign w:val="center"/>
          </w:tcPr>
          <w:p w:rsidR="00AC411A" w:rsidRPr="00B91CB2" w:rsidRDefault="00AC411A" w:rsidP="007E401F">
            <w:pPr>
              <w:rPr>
                <w:sz w:val="22"/>
                <w:szCs w:val="22"/>
              </w:rPr>
            </w:pPr>
            <w:r w:rsidRPr="00B91CB2">
              <w:rPr>
                <w:bCs/>
                <w:iCs/>
                <w:sz w:val="22"/>
                <w:szCs w:val="22"/>
              </w:rPr>
              <w:t>Aksesuāri</w:t>
            </w:r>
          </w:p>
        </w:tc>
        <w:tc>
          <w:tcPr>
            <w:tcW w:w="3402" w:type="dxa"/>
            <w:tcBorders>
              <w:top w:val="nil"/>
              <w:left w:val="nil"/>
              <w:bottom w:val="single" w:sz="4" w:space="0" w:color="auto"/>
              <w:right w:val="single" w:sz="8" w:space="0" w:color="auto"/>
            </w:tcBorders>
            <w:vAlign w:val="center"/>
          </w:tcPr>
          <w:p w:rsidR="00AC411A" w:rsidRPr="00B91CB2" w:rsidRDefault="00AC411A" w:rsidP="007E401F">
            <w:pPr>
              <w:jc w:val="center"/>
              <w:rPr>
                <w:sz w:val="22"/>
                <w:szCs w:val="22"/>
              </w:rPr>
            </w:pPr>
            <w:r w:rsidRPr="00B91CB2">
              <w:rPr>
                <w:bCs/>
                <w:iCs/>
                <w:sz w:val="22"/>
                <w:szCs w:val="22"/>
              </w:rPr>
              <w:t>loka metināšanas deglis, gāzes metināšanas deglis, tig metināšanas deglis, VR bāzes metināšanas maska, statīvs</w:t>
            </w:r>
            <w:r>
              <w:rPr>
                <w:bCs/>
                <w:iCs/>
                <w:sz w:val="22"/>
                <w:szCs w:val="22"/>
              </w:rPr>
              <w:t>;</w:t>
            </w:r>
            <w:r>
              <w:t xml:space="preserve"> </w:t>
            </w:r>
            <w:r>
              <w:rPr>
                <w:bCs/>
                <w:iCs/>
                <w:sz w:val="22"/>
                <w:szCs w:val="22"/>
              </w:rPr>
              <w:t>g</w:t>
            </w:r>
            <w:r w:rsidRPr="001D3473">
              <w:rPr>
                <w:bCs/>
                <w:iCs/>
                <w:sz w:val="22"/>
                <w:szCs w:val="22"/>
              </w:rPr>
              <w:t>alda turētājs metināšanas paraugu fiks</w:t>
            </w:r>
            <w:r>
              <w:rPr>
                <w:bCs/>
                <w:iCs/>
                <w:sz w:val="22"/>
                <w:szCs w:val="22"/>
              </w:rPr>
              <w:t>ācijai un rotācijai ap XYZ asīm;</w:t>
            </w:r>
            <w:r>
              <w:t xml:space="preserve"> </w:t>
            </w:r>
            <w:r>
              <w:rPr>
                <w:bCs/>
                <w:iCs/>
                <w:sz w:val="22"/>
                <w:szCs w:val="22"/>
              </w:rPr>
              <w:t>c</w:t>
            </w:r>
            <w:r w:rsidRPr="001D3473">
              <w:rPr>
                <w:bCs/>
                <w:iCs/>
                <w:sz w:val="22"/>
                <w:szCs w:val="22"/>
              </w:rPr>
              <w:t>iets futrālis ar slēdzi metināšanas simulatoram un paraugiem.</w:t>
            </w:r>
          </w:p>
        </w:tc>
        <w:tc>
          <w:tcPr>
            <w:tcW w:w="2960" w:type="dxa"/>
            <w:tcBorders>
              <w:top w:val="nil"/>
              <w:left w:val="single" w:sz="4" w:space="0" w:color="auto"/>
              <w:bottom w:val="single" w:sz="4" w:space="0" w:color="auto"/>
              <w:right w:val="single" w:sz="8" w:space="0" w:color="auto"/>
            </w:tcBorders>
            <w:vAlign w:val="center"/>
          </w:tcPr>
          <w:p w:rsidR="00AC411A" w:rsidRPr="00B91CB2" w:rsidRDefault="00AC411A" w:rsidP="007E401F">
            <w:pPr>
              <w:rPr>
                <w:sz w:val="22"/>
                <w:szCs w:val="22"/>
              </w:rPr>
            </w:pPr>
          </w:p>
        </w:tc>
      </w:tr>
      <w:tr w:rsidR="00AC411A" w:rsidRPr="00B91CB2" w:rsidTr="007E401F">
        <w:trPr>
          <w:trHeight w:val="300"/>
        </w:trPr>
        <w:tc>
          <w:tcPr>
            <w:tcW w:w="903" w:type="dxa"/>
            <w:tcBorders>
              <w:top w:val="nil"/>
              <w:left w:val="single" w:sz="8" w:space="0" w:color="auto"/>
              <w:bottom w:val="single" w:sz="4" w:space="0" w:color="auto"/>
              <w:right w:val="single" w:sz="4" w:space="0" w:color="auto"/>
            </w:tcBorders>
            <w:noWrap/>
            <w:vAlign w:val="center"/>
          </w:tcPr>
          <w:p w:rsidR="00AC411A" w:rsidRPr="00B91CB2" w:rsidRDefault="00AC411A" w:rsidP="00AC411A">
            <w:pPr>
              <w:pStyle w:val="ListParagraph"/>
              <w:numPr>
                <w:ilvl w:val="1"/>
                <w:numId w:val="1"/>
              </w:numPr>
              <w:suppressAutoHyphens w:val="0"/>
              <w:contextualSpacing w:val="0"/>
              <w:rPr>
                <w:sz w:val="22"/>
                <w:szCs w:val="22"/>
              </w:rPr>
            </w:pPr>
          </w:p>
        </w:tc>
        <w:tc>
          <w:tcPr>
            <w:tcW w:w="2948" w:type="dxa"/>
            <w:tcBorders>
              <w:top w:val="nil"/>
              <w:left w:val="nil"/>
              <w:bottom w:val="single" w:sz="4" w:space="0" w:color="auto"/>
              <w:right w:val="single" w:sz="4" w:space="0" w:color="auto"/>
            </w:tcBorders>
            <w:noWrap/>
            <w:vAlign w:val="center"/>
          </w:tcPr>
          <w:p w:rsidR="00AC411A" w:rsidRPr="00B91CB2" w:rsidRDefault="00AC411A" w:rsidP="007E401F">
            <w:pPr>
              <w:rPr>
                <w:sz w:val="22"/>
                <w:szCs w:val="22"/>
              </w:rPr>
            </w:pPr>
            <w:r w:rsidRPr="00B91CB2">
              <w:rPr>
                <w:bCs/>
                <w:iCs/>
                <w:sz w:val="22"/>
                <w:szCs w:val="22"/>
              </w:rPr>
              <w:t>Biezuma izvēle</w:t>
            </w:r>
          </w:p>
        </w:tc>
        <w:tc>
          <w:tcPr>
            <w:tcW w:w="3402" w:type="dxa"/>
            <w:tcBorders>
              <w:top w:val="nil"/>
              <w:left w:val="nil"/>
              <w:bottom w:val="single" w:sz="4" w:space="0" w:color="auto"/>
              <w:right w:val="single" w:sz="8" w:space="0" w:color="auto"/>
            </w:tcBorders>
            <w:vAlign w:val="center"/>
          </w:tcPr>
          <w:p w:rsidR="00AC411A" w:rsidRPr="00B91CB2" w:rsidRDefault="00AC411A" w:rsidP="007E401F">
            <w:pPr>
              <w:jc w:val="center"/>
              <w:rPr>
                <w:sz w:val="22"/>
                <w:szCs w:val="22"/>
              </w:rPr>
            </w:pPr>
            <w:r w:rsidRPr="001D3473">
              <w:rPr>
                <w:sz w:val="22"/>
                <w:szCs w:val="22"/>
              </w:rPr>
              <w:t>degļi ieskaitot detaļu paraugu komplektu ar iespēju simulēt metālu biezumus: 1, 2, 3, 6, 7, 8, 10, 15, 16, 20, 25 mm. Ieskaitot uzlaboto* TIG stieni.</w:t>
            </w:r>
          </w:p>
        </w:tc>
        <w:tc>
          <w:tcPr>
            <w:tcW w:w="2960" w:type="dxa"/>
            <w:tcBorders>
              <w:top w:val="nil"/>
              <w:left w:val="single" w:sz="4" w:space="0" w:color="auto"/>
              <w:bottom w:val="single" w:sz="4" w:space="0" w:color="auto"/>
              <w:right w:val="single" w:sz="8" w:space="0" w:color="auto"/>
            </w:tcBorders>
            <w:vAlign w:val="center"/>
          </w:tcPr>
          <w:p w:rsidR="00AC411A" w:rsidRPr="00B91CB2" w:rsidRDefault="00AC411A" w:rsidP="007E401F">
            <w:pPr>
              <w:rPr>
                <w:sz w:val="22"/>
                <w:szCs w:val="22"/>
              </w:rPr>
            </w:pPr>
          </w:p>
        </w:tc>
      </w:tr>
      <w:tr w:rsidR="00AC411A" w:rsidRPr="00B91CB2" w:rsidTr="007E401F">
        <w:trPr>
          <w:trHeight w:val="300"/>
        </w:trPr>
        <w:tc>
          <w:tcPr>
            <w:tcW w:w="903" w:type="dxa"/>
            <w:tcBorders>
              <w:top w:val="nil"/>
              <w:left w:val="single" w:sz="8" w:space="0" w:color="auto"/>
              <w:bottom w:val="single" w:sz="4" w:space="0" w:color="auto"/>
              <w:right w:val="single" w:sz="4" w:space="0" w:color="auto"/>
            </w:tcBorders>
            <w:noWrap/>
            <w:vAlign w:val="center"/>
            <w:hideMark/>
          </w:tcPr>
          <w:p w:rsidR="00AC411A" w:rsidRPr="00B91CB2" w:rsidRDefault="00AC411A" w:rsidP="00AC411A">
            <w:pPr>
              <w:pStyle w:val="ListParagraph"/>
              <w:numPr>
                <w:ilvl w:val="1"/>
                <w:numId w:val="1"/>
              </w:numPr>
              <w:suppressAutoHyphens w:val="0"/>
              <w:contextualSpacing w:val="0"/>
              <w:rPr>
                <w:sz w:val="22"/>
                <w:szCs w:val="22"/>
              </w:rPr>
            </w:pPr>
          </w:p>
        </w:tc>
        <w:tc>
          <w:tcPr>
            <w:tcW w:w="2948" w:type="dxa"/>
            <w:tcBorders>
              <w:top w:val="nil"/>
              <w:left w:val="nil"/>
              <w:bottom w:val="single" w:sz="4" w:space="0" w:color="auto"/>
              <w:right w:val="single" w:sz="4" w:space="0" w:color="auto"/>
            </w:tcBorders>
            <w:noWrap/>
          </w:tcPr>
          <w:p w:rsidR="00AC411A" w:rsidRPr="00B91CB2" w:rsidRDefault="00AC411A" w:rsidP="007E401F">
            <w:pPr>
              <w:rPr>
                <w:sz w:val="22"/>
                <w:szCs w:val="22"/>
              </w:rPr>
            </w:pPr>
            <w:r w:rsidRPr="00B91CB2">
              <w:rPr>
                <w:sz w:val="22"/>
                <w:szCs w:val="22"/>
              </w:rPr>
              <w:t>Materiālu izvēle</w:t>
            </w:r>
          </w:p>
        </w:tc>
        <w:tc>
          <w:tcPr>
            <w:tcW w:w="3402" w:type="dxa"/>
            <w:tcBorders>
              <w:top w:val="nil"/>
              <w:left w:val="nil"/>
              <w:bottom w:val="single" w:sz="4" w:space="0" w:color="auto"/>
              <w:right w:val="single" w:sz="8" w:space="0" w:color="auto"/>
            </w:tcBorders>
            <w:vAlign w:val="center"/>
          </w:tcPr>
          <w:p w:rsidR="00AC411A" w:rsidRPr="00B91CB2" w:rsidRDefault="00AC411A" w:rsidP="007E401F">
            <w:pPr>
              <w:jc w:val="center"/>
              <w:rPr>
                <w:sz w:val="22"/>
                <w:szCs w:val="22"/>
              </w:rPr>
            </w:pPr>
            <w:r w:rsidRPr="00B91CB2">
              <w:rPr>
                <w:sz w:val="22"/>
                <w:szCs w:val="22"/>
              </w:rPr>
              <w:t>oglekļa tērauds, nerūsējošais tērauds un alumīnijs</w:t>
            </w:r>
          </w:p>
        </w:tc>
        <w:tc>
          <w:tcPr>
            <w:tcW w:w="2960" w:type="dxa"/>
            <w:tcBorders>
              <w:top w:val="nil"/>
              <w:left w:val="single" w:sz="4" w:space="0" w:color="auto"/>
              <w:bottom w:val="single" w:sz="4" w:space="0" w:color="auto"/>
              <w:right w:val="single" w:sz="8" w:space="0" w:color="auto"/>
            </w:tcBorders>
            <w:vAlign w:val="center"/>
          </w:tcPr>
          <w:p w:rsidR="00AC411A" w:rsidRPr="00B91CB2" w:rsidRDefault="00AC411A" w:rsidP="007E401F">
            <w:pPr>
              <w:rPr>
                <w:sz w:val="22"/>
                <w:szCs w:val="22"/>
              </w:rPr>
            </w:pPr>
          </w:p>
        </w:tc>
      </w:tr>
      <w:tr w:rsidR="00AC411A" w:rsidRPr="00B91CB2" w:rsidTr="007E401F">
        <w:trPr>
          <w:trHeight w:val="300"/>
        </w:trPr>
        <w:tc>
          <w:tcPr>
            <w:tcW w:w="903" w:type="dxa"/>
            <w:tcBorders>
              <w:top w:val="nil"/>
              <w:left w:val="single" w:sz="8" w:space="0" w:color="auto"/>
              <w:bottom w:val="single" w:sz="4" w:space="0" w:color="auto"/>
              <w:right w:val="single" w:sz="4" w:space="0" w:color="auto"/>
            </w:tcBorders>
            <w:noWrap/>
            <w:vAlign w:val="center"/>
            <w:hideMark/>
          </w:tcPr>
          <w:p w:rsidR="00AC411A" w:rsidRPr="00B91CB2" w:rsidRDefault="00AC411A" w:rsidP="00AC411A">
            <w:pPr>
              <w:pStyle w:val="ListParagraph"/>
              <w:numPr>
                <w:ilvl w:val="1"/>
                <w:numId w:val="1"/>
              </w:numPr>
              <w:suppressAutoHyphens w:val="0"/>
              <w:contextualSpacing w:val="0"/>
              <w:rPr>
                <w:sz w:val="22"/>
                <w:szCs w:val="22"/>
              </w:rPr>
            </w:pPr>
          </w:p>
        </w:tc>
        <w:tc>
          <w:tcPr>
            <w:tcW w:w="2948" w:type="dxa"/>
            <w:tcBorders>
              <w:top w:val="nil"/>
              <w:left w:val="nil"/>
              <w:bottom w:val="single" w:sz="4" w:space="0" w:color="auto"/>
              <w:right w:val="single" w:sz="4" w:space="0" w:color="auto"/>
            </w:tcBorders>
            <w:vAlign w:val="center"/>
          </w:tcPr>
          <w:p w:rsidR="00AC411A" w:rsidRPr="00B91CB2" w:rsidRDefault="00AC411A" w:rsidP="007E401F">
            <w:pPr>
              <w:rPr>
                <w:sz w:val="22"/>
                <w:szCs w:val="22"/>
              </w:rPr>
            </w:pPr>
            <w:r w:rsidRPr="00B91CB2">
              <w:rPr>
                <w:sz w:val="22"/>
                <w:szCs w:val="22"/>
              </w:rPr>
              <w:t>Barošana</w:t>
            </w:r>
          </w:p>
        </w:tc>
        <w:tc>
          <w:tcPr>
            <w:tcW w:w="3402" w:type="dxa"/>
            <w:tcBorders>
              <w:top w:val="nil"/>
              <w:left w:val="nil"/>
              <w:bottom w:val="single" w:sz="4" w:space="0" w:color="auto"/>
              <w:right w:val="single" w:sz="8" w:space="0" w:color="auto"/>
            </w:tcBorders>
            <w:vAlign w:val="center"/>
          </w:tcPr>
          <w:p w:rsidR="00AC411A" w:rsidRPr="00B91CB2" w:rsidRDefault="00AC411A" w:rsidP="007E401F">
            <w:pPr>
              <w:jc w:val="center"/>
              <w:rPr>
                <w:sz w:val="22"/>
                <w:szCs w:val="22"/>
              </w:rPr>
            </w:pPr>
            <w:r w:rsidRPr="00B91CB2">
              <w:rPr>
                <w:sz w:val="22"/>
                <w:szCs w:val="22"/>
              </w:rPr>
              <w:t>100-240 V</w:t>
            </w:r>
          </w:p>
        </w:tc>
        <w:tc>
          <w:tcPr>
            <w:tcW w:w="2960" w:type="dxa"/>
            <w:tcBorders>
              <w:top w:val="nil"/>
              <w:left w:val="single" w:sz="4" w:space="0" w:color="auto"/>
              <w:bottom w:val="single" w:sz="4" w:space="0" w:color="auto"/>
              <w:right w:val="single" w:sz="8" w:space="0" w:color="auto"/>
            </w:tcBorders>
            <w:vAlign w:val="center"/>
          </w:tcPr>
          <w:p w:rsidR="00AC411A" w:rsidRPr="00B91CB2" w:rsidRDefault="00AC411A" w:rsidP="007E401F">
            <w:pPr>
              <w:jc w:val="center"/>
              <w:rPr>
                <w:sz w:val="22"/>
                <w:szCs w:val="22"/>
              </w:rPr>
            </w:pPr>
          </w:p>
        </w:tc>
      </w:tr>
      <w:tr w:rsidR="00AC411A" w:rsidRPr="00B91CB2" w:rsidTr="007E401F">
        <w:trPr>
          <w:trHeight w:val="300"/>
        </w:trPr>
        <w:tc>
          <w:tcPr>
            <w:tcW w:w="903" w:type="dxa"/>
            <w:tcBorders>
              <w:top w:val="nil"/>
              <w:left w:val="single" w:sz="8" w:space="0" w:color="auto"/>
              <w:bottom w:val="single" w:sz="4" w:space="0" w:color="auto"/>
              <w:right w:val="single" w:sz="4" w:space="0" w:color="auto"/>
            </w:tcBorders>
            <w:noWrap/>
            <w:vAlign w:val="center"/>
          </w:tcPr>
          <w:p w:rsidR="00AC411A" w:rsidRPr="00B91CB2" w:rsidRDefault="00AC411A" w:rsidP="00AC411A">
            <w:pPr>
              <w:pStyle w:val="ListParagraph"/>
              <w:numPr>
                <w:ilvl w:val="1"/>
                <w:numId w:val="1"/>
              </w:numPr>
              <w:suppressAutoHyphens w:val="0"/>
              <w:contextualSpacing w:val="0"/>
              <w:rPr>
                <w:sz w:val="22"/>
                <w:szCs w:val="22"/>
              </w:rPr>
            </w:pPr>
          </w:p>
        </w:tc>
        <w:tc>
          <w:tcPr>
            <w:tcW w:w="2948" w:type="dxa"/>
            <w:tcBorders>
              <w:top w:val="single" w:sz="4" w:space="0" w:color="auto"/>
            </w:tcBorders>
            <w:vAlign w:val="center"/>
          </w:tcPr>
          <w:p w:rsidR="00AC411A" w:rsidRPr="00B91CB2" w:rsidRDefault="00AC411A" w:rsidP="007E401F">
            <w:pPr>
              <w:rPr>
                <w:bCs/>
                <w:iCs/>
                <w:sz w:val="22"/>
                <w:szCs w:val="22"/>
              </w:rPr>
            </w:pPr>
            <w:r w:rsidRPr="00B91CB2">
              <w:rPr>
                <w:sz w:val="22"/>
                <w:szCs w:val="22"/>
              </w:rPr>
              <w:t>Kopējā jauda</w:t>
            </w:r>
          </w:p>
        </w:tc>
        <w:tc>
          <w:tcPr>
            <w:tcW w:w="3402" w:type="dxa"/>
            <w:tcBorders>
              <w:top w:val="nil"/>
              <w:left w:val="single" w:sz="4" w:space="0" w:color="auto"/>
              <w:bottom w:val="single" w:sz="4" w:space="0" w:color="auto"/>
              <w:right w:val="single" w:sz="8" w:space="0" w:color="auto"/>
            </w:tcBorders>
            <w:vAlign w:val="center"/>
          </w:tcPr>
          <w:p w:rsidR="00AC411A" w:rsidRPr="00B91CB2" w:rsidRDefault="00AC411A" w:rsidP="007E401F">
            <w:pPr>
              <w:jc w:val="center"/>
              <w:rPr>
                <w:bCs/>
                <w:iCs/>
                <w:sz w:val="22"/>
                <w:szCs w:val="22"/>
              </w:rPr>
            </w:pPr>
            <w:r w:rsidRPr="00B91CB2">
              <w:rPr>
                <w:sz w:val="22"/>
                <w:szCs w:val="22"/>
              </w:rPr>
              <w:t>1KW</w:t>
            </w:r>
          </w:p>
        </w:tc>
        <w:tc>
          <w:tcPr>
            <w:tcW w:w="2960" w:type="dxa"/>
            <w:tcBorders>
              <w:top w:val="nil"/>
              <w:left w:val="single" w:sz="4" w:space="0" w:color="auto"/>
              <w:bottom w:val="single" w:sz="4" w:space="0" w:color="auto"/>
              <w:right w:val="single" w:sz="8" w:space="0" w:color="auto"/>
            </w:tcBorders>
            <w:vAlign w:val="center"/>
          </w:tcPr>
          <w:p w:rsidR="00AC411A" w:rsidRPr="00B91CB2" w:rsidRDefault="00AC411A" w:rsidP="007E401F">
            <w:pPr>
              <w:jc w:val="center"/>
              <w:rPr>
                <w:sz w:val="22"/>
                <w:szCs w:val="22"/>
              </w:rPr>
            </w:pPr>
          </w:p>
        </w:tc>
      </w:tr>
      <w:tr w:rsidR="00AC411A" w:rsidRPr="00B91CB2" w:rsidTr="007E401F">
        <w:trPr>
          <w:trHeight w:val="300"/>
        </w:trPr>
        <w:tc>
          <w:tcPr>
            <w:tcW w:w="903" w:type="dxa"/>
            <w:tcBorders>
              <w:top w:val="nil"/>
              <w:left w:val="single" w:sz="8" w:space="0" w:color="auto"/>
              <w:bottom w:val="single" w:sz="4" w:space="0" w:color="auto"/>
              <w:right w:val="single" w:sz="4" w:space="0" w:color="auto"/>
            </w:tcBorders>
            <w:noWrap/>
            <w:vAlign w:val="center"/>
          </w:tcPr>
          <w:p w:rsidR="00AC411A" w:rsidRPr="00B91CB2" w:rsidRDefault="00AC411A" w:rsidP="00AC411A">
            <w:pPr>
              <w:pStyle w:val="ListParagraph"/>
              <w:numPr>
                <w:ilvl w:val="1"/>
                <w:numId w:val="1"/>
              </w:numPr>
              <w:suppressAutoHyphens w:val="0"/>
              <w:contextualSpacing w:val="0"/>
              <w:rPr>
                <w:sz w:val="22"/>
                <w:szCs w:val="22"/>
              </w:rPr>
            </w:pPr>
          </w:p>
        </w:tc>
        <w:tc>
          <w:tcPr>
            <w:tcW w:w="2948" w:type="dxa"/>
            <w:tcBorders>
              <w:top w:val="single" w:sz="4" w:space="0" w:color="auto"/>
            </w:tcBorders>
            <w:vAlign w:val="center"/>
          </w:tcPr>
          <w:p w:rsidR="00AC411A" w:rsidRPr="00B91CB2" w:rsidRDefault="00AC411A" w:rsidP="007E401F">
            <w:pPr>
              <w:rPr>
                <w:sz w:val="22"/>
                <w:szCs w:val="22"/>
              </w:rPr>
            </w:pPr>
            <w:r>
              <w:rPr>
                <w:sz w:val="22"/>
                <w:szCs w:val="22"/>
              </w:rPr>
              <w:t>Detaļu paraugi</w:t>
            </w:r>
          </w:p>
        </w:tc>
        <w:tc>
          <w:tcPr>
            <w:tcW w:w="3402" w:type="dxa"/>
            <w:tcBorders>
              <w:top w:val="nil"/>
              <w:left w:val="single" w:sz="4" w:space="0" w:color="auto"/>
              <w:bottom w:val="single" w:sz="4" w:space="0" w:color="auto"/>
              <w:right w:val="single" w:sz="8" w:space="0" w:color="auto"/>
            </w:tcBorders>
            <w:vAlign w:val="center"/>
          </w:tcPr>
          <w:p w:rsidR="00AC411A" w:rsidRDefault="00AC411A" w:rsidP="007E401F">
            <w:pPr>
              <w:jc w:val="center"/>
              <w:rPr>
                <w:sz w:val="22"/>
                <w:szCs w:val="22"/>
              </w:rPr>
            </w:pPr>
            <w:r w:rsidRPr="001D3473">
              <w:rPr>
                <w:sz w:val="22"/>
                <w:szCs w:val="22"/>
              </w:rPr>
              <w:t>caurules un plāksnes stūra savienojums ar stiprinošu ribu  - paplašinātās realitātes simulācijai</w:t>
            </w:r>
          </w:p>
          <w:p w:rsidR="00AC411A" w:rsidRDefault="00AC411A" w:rsidP="007E401F">
            <w:pPr>
              <w:jc w:val="center"/>
              <w:rPr>
                <w:sz w:val="22"/>
                <w:szCs w:val="22"/>
              </w:rPr>
            </w:pPr>
          </w:p>
          <w:p w:rsidR="00AC411A" w:rsidRDefault="00AC411A" w:rsidP="007E401F">
            <w:pPr>
              <w:jc w:val="center"/>
              <w:rPr>
                <w:sz w:val="22"/>
                <w:szCs w:val="22"/>
              </w:rPr>
            </w:pPr>
            <w:r w:rsidRPr="00B6486A">
              <w:rPr>
                <w:sz w:val="22"/>
                <w:szCs w:val="22"/>
              </w:rPr>
              <w:t>plākšņu komplekts (kārba) ar šuvēm caur plāksnēs esošajām ailēm - paplašinātās realitātes simulācijai</w:t>
            </w:r>
          </w:p>
          <w:p w:rsidR="00AC411A" w:rsidRPr="00B91CB2" w:rsidRDefault="00AC411A" w:rsidP="007E401F">
            <w:pPr>
              <w:jc w:val="center"/>
              <w:rPr>
                <w:sz w:val="22"/>
                <w:szCs w:val="22"/>
              </w:rPr>
            </w:pPr>
            <w:r w:rsidRPr="00B6486A">
              <w:rPr>
                <w:sz w:val="22"/>
                <w:szCs w:val="22"/>
              </w:rPr>
              <w:t xml:space="preserve">plākšņu komplekts ar biezumu no 1 līdz 3mm - kaktu šuvēm, saduršuvēm, pārlaidšuvēm, </w:t>
            </w:r>
            <w:r w:rsidRPr="00B6486A">
              <w:rPr>
                <w:sz w:val="22"/>
                <w:szCs w:val="22"/>
              </w:rPr>
              <w:lastRenderedPageBreak/>
              <w:t>elektrokniežu šuvēm visās metināšanas pozīcijās -  paplašinātās realitātes simulācijai</w:t>
            </w:r>
          </w:p>
        </w:tc>
        <w:tc>
          <w:tcPr>
            <w:tcW w:w="2960" w:type="dxa"/>
            <w:tcBorders>
              <w:top w:val="nil"/>
              <w:left w:val="single" w:sz="4" w:space="0" w:color="auto"/>
              <w:bottom w:val="single" w:sz="4" w:space="0" w:color="auto"/>
              <w:right w:val="single" w:sz="8" w:space="0" w:color="auto"/>
            </w:tcBorders>
            <w:vAlign w:val="center"/>
          </w:tcPr>
          <w:p w:rsidR="00AC411A" w:rsidRPr="00B91CB2" w:rsidRDefault="00AC411A" w:rsidP="007E401F">
            <w:pPr>
              <w:jc w:val="center"/>
              <w:rPr>
                <w:sz w:val="22"/>
                <w:szCs w:val="22"/>
              </w:rPr>
            </w:pPr>
          </w:p>
        </w:tc>
      </w:tr>
      <w:tr w:rsidR="00AC411A" w:rsidRPr="00B91CB2" w:rsidTr="007E401F">
        <w:trPr>
          <w:trHeight w:val="300"/>
        </w:trPr>
        <w:tc>
          <w:tcPr>
            <w:tcW w:w="903" w:type="dxa"/>
            <w:tcBorders>
              <w:top w:val="nil"/>
              <w:left w:val="single" w:sz="8" w:space="0" w:color="auto"/>
              <w:bottom w:val="single" w:sz="4" w:space="0" w:color="auto"/>
              <w:right w:val="single" w:sz="4" w:space="0" w:color="auto"/>
            </w:tcBorders>
            <w:noWrap/>
            <w:vAlign w:val="center"/>
          </w:tcPr>
          <w:p w:rsidR="00AC411A" w:rsidRPr="00B91CB2" w:rsidRDefault="00AC411A" w:rsidP="00AC411A">
            <w:pPr>
              <w:pStyle w:val="ListParagraph"/>
              <w:numPr>
                <w:ilvl w:val="1"/>
                <w:numId w:val="1"/>
              </w:numPr>
              <w:suppressAutoHyphens w:val="0"/>
              <w:contextualSpacing w:val="0"/>
              <w:rPr>
                <w:sz w:val="22"/>
                <w:szCs w:val="22"/>
              </w:rPr>
            </w:pPr>
          </w:p>
        </w:tc>
        <w:tc>
          <w:tcPr>
            <w:tcW w:w="2948" w:type="dxa"/>
            <w:tcBorders>
              <w:top w:val="single" w:sz="4" w:space="0" w:color="auto"/>
            </w:tcBorders>
            <w:vAlign w:val="center"/>
          </w:tcPr>
          <w:p w:rsidR="00AC411A" w:rsidRDefault="00AC411A" w:rsidP="007E401F">
            <w:pPr>
              <w:rPr>
                <w:sz w:val="22"/>
                <w:szCs w:val="22"/>
              </w:rPr>
            </w:pPr>
            <w:r w:rsidRPr="001D3473">
              <w:rPr>
                <w:sz w:val="22"/>
                <w:szCs w:val="22"/>
              </w:rPr>
              <w:t>Metināšanas simulators ar programmatūru</w:t>
            </w:r>
            <w:r>
              <w:rPr>
                <w:sz w:val="22"/>
                <w:szCs w:val="22"/>
              </w:rPr>
              <w:t>:</w:t>
            </w:r>
          </w:p>
          <w:p w:rsidR="00AC411A" w:rsidRPr="00B91CB2" w:rsidRDefault="00AC411A" w:rsidP="007E401F">
            <w:pPr>
              <w:rPr>
                <w:sz w:val="22"/>
                <w:szCs w:val="22"/>
              </w:rPr>
            </w:pPr>
            <w:r w:rsidRPr="00B91CB2">
              <w:rPr>
                <w:sz w:val="22"/>
                <w:szCs w:val="22"/>
              </w:rPr>
              <w:t xml:space="preserve">Sprieguma izvēle </w:t>
            </w:r>
          </w:p>
          <w:p w:rsidR="00AC411A" w:rsidRPr="00B91CB2" w:rsidRDefault="00AC411A" w:rsidP="007E401F">
            <w:pPr>
              <w:rPr>
                <w:sz w:val="22"/>
                <w:szCs w:val="22"/>
              </w:rPr>
            </w:pPr>
            <w:r w:rsidRPr="00B91CB2">
              <w:rPr>
                <w:sz w:val="22"/>
                <w:szCs w:val="22"/>
              </w:rPr>
              <w:t xml:space="preserve">Strāvas stipruma izvēle Aizsarggāzes izvēle </w:t>
            </w:r>
          </w:p>
          <w:p w:rsidR="00AC411A" w:rsidRPr="00B91CB2" w:rsidRDefault="00AC411A" w:rsidP="007E401F">
            <w:pPr>
              <w:rPr>
                <w:sz w:val="22"/>
                <w:szCs w:val="22"/>
              </w:rPr>
            </w:pPr>
            <w:r w:rsidRPr="00B91CB2">
              <w:rPr>
                <w:sz w:val="22"/>
                <w:szCs w:val="22"/>
              </w:rPr>
              <w:t xml:space="preserve">Vada ātruma izvēle </w:t>
            </w:r>
          </w:p>
          <w:p w:rsidR="00AC411A" w:rsidRPr="00B91CB2" w:rsidRDefault="00AC411A" w:rsidP="007E401F">
            <w:pPr>
              <w:rPr>
                <w:sz w:val="22"/>
                <w:szCs w:val="22"/>
              </w:rPr>
            </w:pPr>
            <w:r w:rsidRPr="00B91CB2">
              <w:rPr>
                <w:sz w:val="22"/>
                <w:szCs w:val="22"/>
              </w:rPr>
              <w:t>Dūrienu tehnikas izvēle</w:t>
            </w:r>
          </w:p>
          <w:p w:rsidR="00AC411A" w:rsidRPr="00B91CB2" w:rsidRDefault="00AC411A" w:rsidP="007E401F">
            <w:pPr>
              <w:rPr>
                <w:sz w:val="22"/>
                <w:szCs w:val="22"/>
              </w:rPr>
            </w:pPr>
            <w:r w:rsidRPr="00B91CB2">
              <w:rPr>
                <w:sz w:val="22"/>
                <w:szCs w:val="22"/>
              </w:rPr>
              <w:t>Virziena izvēle</w:t>
            </w:r>
          </w:p>
          <w:p w:rsidR="00AC411A" w:rsidRPr="00B91CB2" w:rsidRDefault="00AC411A" w:rsidP="007E401F">
            <w:pPr>
              <w:rPr>
                <w:sz w:val="22"/>
                <w:szCs w:val="22"/>
              </w:rPr>
            </w:pPr>
            <w:r w:rsidRPr="00B91CB2">
              <w:rPr>
                <w:sz w:val="22"/>
                <w:szCs w:val="22"/>
              </w:rPr>
              <w:t>Rokas izvēle</w:t>
            </w:r>
          </w:p>
          <w:p w:rsidR="00AC411A" w:rsidRPr="00B91CB2" w:rsidRDefault="00AC411A" w:rsidP="007E401F">
            <w:pPr>
              <w:rPr>
                <w:sz w:val="22"/>
                <w:szCs w:val="22"/>
              </w:rPr>
            </w:pPr>
            <w:r w:rsidRPr="00B91CB2">
              <w:rPr>
                <w:sz w:val="22"/>
                <w:szCs w:val="22"/>
              </w:rPr>
              <w:t>Pa labi vai pa kreisi Īsti metināšanas degļi</w:t>
            </w:r>
          </w:p>
          <w:p w:rsidR="00AC411A" w:rsidRPr="00B91CB2" w:rsidRDefault="00AC411A" w:rsidP="007E401F">
            <w:pPr>
              <w:rPr>
                <w:sz w:val="22"/>
                <w:szCs w:val="22"/>
              </w:rPr>
            </w:pPr>
            <w:r w:rsidRPr="00B91CB2">
              <w:rPr>
                <w:sz w:val="22"/>
                <w:szCs w:val="22"/>
              </w:rPr>
              <w:t>Attālinātā apkope</w:t>
            </w:r>
          </w:p>
          <w:p w:rsidR="00AC411A" w:rsidRPr="00B91CB2" w:rsidRDefault="00AC411A" w:rsidP="007E401F">
            <w:pPr>
              <w:rPr>
                <w:sz w:val="22"/>
                <w:szCs w:val="22"/>
              </w:rPr>
            </w:pPr>
            <w:r w:rsidRPr="00B91CB2">
              <w:rPr>
                <w:sz w:val="22"/>
                <w:szCs w:val="22"/>
              </w:rPr>
              <w:t>Ķivere Meta Quest 2</w:t>
            </w:r>
          </w:p>
          <w:p w:rsidR="00AC411A" w:rsidRPr="00B91CB2" w:rsidRDefault="00AC411A" w:rsidP="007E401F">
            <w:pPr>
              <w:rPr>
                <w:sz w:val="22"/>
                <w:szCs w:val="22"/>
              </w:rPr>
            </w:pPr>
            <w:r w:rsidRPr="00B91CB2">
              <w:rPr>
                <w:sz w:val="22"/>
                <w:szCs w:val="22"/>
              </w:rPr>
              <w:t>Vizuāls mājiens</w:t>
            </w:r>
          </w:p>
          <w:p w:rsidR="00AC411A" w:rsidRPr="00B91CB2" w:rsidRDefault="00AC411A" w:rsidP="007E401F">
            <w:pPr>
              <w:rPr>
                <w:sz w:val="22"/>
                <w:szCs w:val="22"/>
              </w:rPr>
            </w:pPr>
            <w:r w:rsidRPr="00B91CB2">
              <w:rPr>
                <w:sz w:val="22"/>
                <w:szCs w:val="22"/>
              </w:rPr>
              <w:t>Teritorijas izvēle</w:t>
            </w:r>
          </w:p>
          <w:p w:rsidR="00AC411A" w:rsidRPr="00B91CB2" w:rsidRDefault="00AC411A" w:rsidP="007E401F">
            <w:pPr>
              <w:rPr>
                <w:sz w:val="22"/>
                <w:szCs w:val="22"/>
              </w:rPr>
            </w:pPr>
            <w:r w:rsidRPr="00B91CB2">
              <w:rPr>
                <w:sz w:val="22"/>
                <w:szCs w:val="22"/>
              </w:rPr>
              <w:t>Polarizācija</w:t>
            </w:r>
          </w:p>
          <w:p w:rsidR="00AC411A" w:rsidRPr="00B91CB2" w:rsidRDefault="00AC411A" w:rsidP="007E401F">
            <w:pPr>
              <w:rPr>
                <w:sz w:val="22"/>
                <w:szCs w:val="22"/>
              </w:rPr>
            </w:pPr>
            <w:r w:rsidRPr="00B91CB2">
              <w:rPr>
                <w:sz w:val="22"/>
                <w:szCs w:val="22"/>
              </w:rPr>
              <w:t xml:space="preserve">Elektrodu/vadu materiāla izvēle </w:t>
            </w:r>
          </w:p>
          <w:p w:rsidR="00AC411A" w:rsidRPr="00B91CB2" w:rsidRDefault="00AC411A" w:rsidP="007E401F">
            <w:pPr>
              <w:rPr>
                <w:sz w:val="22"/>
                <w:szCs w:val="22"/>
              </w:rPr>
            </w:pPr>
            <w:r w:rsidRPr="00B91CB2">
              <w:rPr>
                <w:sz w:val="22"/>
                <w:szCs w:val="22"/>
              </w:rPr>
              <w:t xml:space="preserve">Elektroda/vada diametra izvēle </w:t>
            </w:r>
          </w:p>
          <w:p w:rsidR="00AC411A" w:rsidRPr="00B91CB2" w:rsidRDefault="00AC411A" w:rsidP="007E401F">
            <w:pPr>
              <w:rPr>
                <w:sz w:val="22"/>
                <w:szCs w:val="22"/>
              </w:rPr>
            </w:pPr>
            <w:r w:rsidRPr="00B91CB2">
              <w:rPr>
                <w:sz w:val="22"/>
                <w:szCs w:val="22"/>
              </w:rPr>
              <w:t xml:space="preserve">Lietotāju novērtēšanas sistēma </w:t>
            </w:r>
          </w:p>
          <w:p w:rsidR="00AC411A" w:rsidRPr="00B91CB2" w:rsidRDefault="00AC411A" w:rsidP="007E401F">
            <w:pPr>
              <w:rPr>
                <w:sz w:val="22"/>
                <w:szCs w:val="22"/>
              </w:rPr>
            </w:pPr>
            <w:r w:rsidRPr="00B91CB2">
              <w:rPr>
                <w:sz w:val="22"/>
                <w:szCs w:val="22"/>
              </w:rPr>
              <w:t xml:space="preserve">Video ierakstīšana </w:t>
            </w:r>
          </w:p>
          <w:p w:rsidR="00AC411A" w:rsidRPr="00B91CB2" w:rsidRDefault="00AC411A" w:rsidP="007E401F">
            <w:pPr>
              <w:rPr>
                <w:sz w:val="22"/>
                <w:szCs w:val="22"/>
              </w:rPr>
            </w:pPr>
            <w:r w:rsidRPr="00B91CB2">
              <w:rPr>
                <w:sz w:val="22"/>
                <w:szCs w:val="22"/>
              </w:rPr>
              <w:t xml:space="preserve">Projektēšana uz lielākiem ekrāniem </w:t>
            </w:r>
          </w:p>
          <w:p w:rsidR="00AC411A" w:rsidRPr="00B91CB2" w:rsidRDefault="00AC411A" w:rsidP="007E401F">
            <w:pPr>
              <w:rPr>
                <w:sz w:val="22"/>
                <w:szCs w:val="22"/>
              </w:rPr>
            </w:pPr>
            <w:r w:rsidRPr="00B91CB2">
              <w:rPr>
                <w:sz w:val="22"/>
                <w:szCs w:val="22"/>
              </w:rPr>
              <w:t>Skārienekrāna Vision tehnoloģija</w:t>
            </w:r>
          </w:p>
          <w:p w:rsidR="00AC411A" w:rsidRPr="00B91CB2" w:rsidRDefault="00AC411A" w:rsidP="007E401F">
            <w:pPr>
              <w:rPr>
                <w:sz w:val="22"/>
                <w:szCs w:val="22"/>
              </w:rPr>
            </w:pPr>
            <w:r w:rsidRPr="00B91CB2">
              <w:rPr>
                <w:sz w:val="22"/>
                <w:szCs w:val="22"/>
              </w:rPr>
              <w:t>Virtuālā realitāte</w:t>
            </w:r>
          </w:p>
          <w:p w:rsidR="00AC411A" w:rsidRPr="00B91CB2" w:rsidRDefault="00AC411A" w:rsidP="007E401F">
            <w:pPr>
              <w:rPr>
                <w:sz w:val="22"/>
                <w:szCs w:val="22"/>
              </w:rPr>
            </w:pPr>
            <w:r w:rsidRPr="00B91CB2">
              <w:rPr>
                <w:sz w:val="22"/>
                <w:szCs w:val="22"/>
              </w:rPr>
              <w:t>Skaņa 3D skaņa</w:t>
            </w:r>
          </w:p>
          <w:p w:rsidR="00AC411A" w:rsidRPr="00B91CB2" w:rsidRDefault="00AC411A" w:rsidP="007E401F">
            <w:pPr>
              <w:rPr>
                <w:sz w:val="22"/>
                <w:szCs w:val="22"/>
              </w:rPr>
            </w:pPr>
            <w:r w:rsidRPr="00B91CB2">
              <w:rPr>
                <w:sz w:val="22"/>
                <w:szCs w:val="22"/>
              </w:rPr>
              <w:t xml:space="preserve">Atjauninājumi </w:t>
            </w:r>
          </w:p>
        </w:tc>
        <w:tc>
          <w:tcPr>
            <w:tcW w:w="3402" w:type="dxa"/>
            <w:tcBorders>
              <w:top w:val="nil"/>
              <w:left w:val="single" w:sz="4" w:space="0" w:color="auto"/>
              <w:bottom w:val="single" w:sz="4" w:space="0" w:color="auto"/>
              <w:right w:val="single" w:sz="8" w:space="0" w:color="auto"/>
            </w:tcBorders>
            <w:vAlign w:val="center"/>
          </w:tcPr>
          <w:p w:rsidR="00AC411A" w:rsidRDefault="00AC411A" w:rsidP="007E401F">
            <w:pPr>
              <w:jc w:val="center"/>
              <w:rPr>
                <w:sz w:val="22"/>
                <w:szCs w:val="22"/>
              </w:rPr>
            </w:pPr>
            <w:r w:rsidRPr="001D3473">
              <w:rPr>
                <w:sz w:val="22"/>
                <w:szCs w:val="22"/>
              </w:rPr>
              <w:t xml:space="preserve">Metināšanas simulatora programmatūras licence </w:t>
            </w:r>
          </w:p>
          <w:p w:rsidR="00AC411A" w:rsidRDefault="00AC411A" w:rsidP="007E401F">
            <w:pPr>
              <w:rPr>
                <w:sz w:val="22"/>
                <w:szCs w:val="22"/>
              </w:rPr>
            </w:pPr>
          </w:p>
          <w:p w:rsidR="00AC411A" w:rsidRDefault="00AC411A" w:rsidP="007E401F">
            <w:pPr>
              <w:jc w:val="center"/>
              <w:rPr>
                <w:sz w:val="22"/>
                <w:szCs w:val="22"/>
              </w:rPr>
            </w:pPr>
          </w:p>
          <w:p w:rsidR="00AC411A" w:rsidRDefault="00AC411A" w:rsidP="007E401F">
            <w:pPr>
              <w:jc w:val="center"/>
              <w:rPr>
                <w:sz w:val="22"/>
                <w:szCs w:val="22"/>
              </w:rPr>
            </w:pPr>
          </w:p>
          <w:p w:rsidR="00AC411A" w:rsidRDefault="00AC411A" w:rsidP="007E401F">
            <w:pPr>
              <w:jc w:val="center"/>
              <w:rPr>
                <w:sz w:val="22"/>
                <w:szCs w:val="22"/>
              </w:rPr>
            </w:pPr>
          </w:p>
          <w:p w:rsidR="00AC411A" w:rsidRDefault="00AC411A" w:rsidP="007E401F">
            <w:pPr>
              <w:jc w:val="center"/>
              <w:rPr>
                <w:sz w:val="22"/>
                <w:szCs w:val="22"/>
              </w:rPr>
            </w:pPr>
          </w:p>
          <w:p w:rsidR="00AC411A" w:rsidRPr="00B91CB2" w:rsidRDefault="00AC411A" w:rsidP="007E401F">
            <w:pPr>
              <w:jc w:val="center"/>
              <w:rPr>
                <w:sz w:val="22"/>
                <w:szCs w:val="22"/>
              </w:rPr>
            </w:pPr>
            <w:r w:rsidRPr="00B91CB2">
              <w:rPr>
                <w:sz w:val="22"/>
                <w:szCs w:val="22"/>
              </w:rPr>
              <w:t>Jā</w:t>
            </w:r>
          </w:p>
        </w:tc>
        <w:tc>
          <w:tcPr>
            <w:tcW w:w="2960" w:type="dxa"/>
            <w:tcBorders>
              <w:top w:val="nil"/>
              <w:left w:val="single" w:sz="4" w:space="0" w:color="auto"/>
              <w:bottom w:val="single" w:sz="4" w:space="0" w:color="auto"/>
              <w:right w:val="single" w:sz="8" w:space="0" w:color="auto"/>
            </w:tcBorders>
            <w:vAlign w:val="center"/>
          </w:tcPr>
          <w:p w:rsidR="00AC411A" w:rsidRPr="00B91CB2" w:rsidRDefault="00AC411A" w:rsidP="007E401F">
            <w:pPr>
              <w:jc w:val="center"/>
              <w:rPr>
                <w:sz w:val="22"/>
                <w:szCs w:val="22"/>
              </w:rPr>
            </w:pPr>
          </w:p>
        </w:tc>
      </w:tr>
      <w:tr w:rsidR="00AC411A" w:rsidRPr="00B91CB2" w:rsidTr="007E401F">
        <w:trPr>
          <w:trHeight w:val="300"/>
        </w:trPr>
        <w:tc>
          <w:tcPr>
            <w:tcW w:w="903" w:type="dxa"/>
            <w:tcBorders>
              <w:top w:val="nil"/>
              <w:left w:val="single" w:sz="8" w:space="0" w:color="auto"/>
              <w:bottom w:val="single" w:sz="4" w:space="0" w:color="auto"/>
              <w:right w:val="single" w:sz="4" w:space="0" w:color="auto"/>
            </w:tcBorders>
            <w:noWrap/>
            <w:vAlign w:val="center"/>
          </w:tcPr>
          <w:p w:rsidR="00AC411A" w:rsidRPr="00B91CB2" w:rsidRDefault="00AC411A" w:rsidP="00AC411A">
            <w:pPr>
              <w:pStyle w:val="ListParagraph"/>
              <w:numPr>
                <w:ilvl w:val="1"/>
                <w:numId w:val="1"/>
              </w:numPr>
              <w:suppressAutoHyphens w:val="0"/>
              <w:contextualSpacing w:val="0"/>
              <w:rPr>
                <w:sz w:val="22"/>
                <w:szCs w:val="22"/>
              </w:rPr>
            </w:pPr>
          </w:p>
        </w:tc>
        <w:tc>
          <w:tcPr>
            <w:tcW w:w="2948" w:type="dxa"/>
            <w:tcBorders>
              <w:top w:val="single" w:sz="4" w:space="0" w:color="auto"/>
              <w:left w:val="nil"/>
              <w:bottom w:val="single" w:sz="4" w:space="0" w:color="auto"/>
              <w:right w:val="single" w:sz="4" w:space="0" w:color="auto"/>
            </w:tcBorders>
            <w:vAlign w:val="center"/>
          </w:tcPr>
          <w:p w:rsidR="00AC411A" w:rsidRPr="00B91CB2" w:rsidRDefault="00AC411A" w:rsidP="007E401F">
            <w:pPr>
              <w:rPr>
                <w:sz w:val="22"/>
                <w:szCs w:val="22"/>
              </w:rPr>
            </w:pPr>
            <w:r w:rsidRPr="00B91CB2">
              <w:rPr>
                <w:sz w:val="22"/>
                <w:szCs w:val="22"/>
              </w:rPr>
              <w:t>Monitors skārienjūtīgs</w:t>
            </w:r>
          </w:p>
        </w:tc>
        <w:tc>
          <w:tcPr>
            <w:tcW w:w="3402" w:type="dxa"/>
            <w:tcBorders>
              <w:top w:val="nil"/>
              <w:left w:val="nil"/>
              <w:bottom w:val="single" w:sz="4" w:space="0" w:color="auto"/>
              <w:right w:val="single" w:sz="8" w:space="0" w:color="auto"/>
            </w:tcBorders>
            <w:vAlign w:val="center"/>
          </w:tcPr>
          <w:p w:rsidR="00AC411A" w:rsidRPr="00B91CB2" w:rsidRDefault="00AC411A" w:rsidP="007E401F">
            <w:pPr>
              <w:jc w:val="center"/>
              <w:rPr>
                <w:sz w:val="22"/>
                <w:szCs w:val="22"/>
              </w:rPr>
            </w:pPr>
            <w:r w:rsidRPr="00B91CB2">
              <w:rPr>
                <w:sz w:val="22"/>
                <w:szCs w:val="22"/>
              </w:rPr>
              <w:t>21,5’’ skārienjūtīgs</w:t>
            </w:r>
          </w:p>
        </w:tc>
        <w:tc>
          <w:tcPr>
            <w:tcW w:w="2960" w:type="dxa"/>
            <w:tcBorders>
              <w:top w:val="nil"/>
              <w:left w:val="single" w:sz="4" w:space="0" w:color="auto"/>
              <w:bottom w:val="single" w:sz="4" w:space="0" w:color="auto"/>
              <w:right w:val="single" w:sz="8" w:space="0" w:color="auto"/>
            </w:tcBorders>
            <w:vAlign w:val="center"/>
          </w:tcPr>
          <w:p w:rsidR="00AC411A" w:rsidRPr="00B91CB2" w:rsidRDefault="00AC411A" w:rsidP="007E401F">
            <w:pPr>
              <w:jc w:val="center"/>
              <w:rPr>
                <w:sz w:val="22"/>
                <w:szCs w:val="22"/>
              </w:rPr>
            </w:pPr>
          </w:p>
        </w:tc>
      </w:tr>
    </w:tbl>
    <w:p w:rsidR="00AC411A" w:rsidRPr="00B91CB2" w:rsidRDefault="00AC411A" w:rsidP="00AC411A">
      <w:pPr>
        <w:rPr>
          <w:color w:val="000000" w:themeColor="text1"/>
          <w:sz w:val="22"/>
          <w:szCs w:val="22"/>
        </w:rPr>
      </w:pPr>
    </w:p>
    <w:p w:rsidR="00AC411A" w:rsidRPr="00B91CB2" w:rsidRDefault="00AC411A" w:rsidP="00AC411A">
      <w:pPr>
        <w:rPr>
          <w:color w:val="000000" w:themeColor="text1"/>
          <w:sz w:val="22"/>
          <w:szCs w:val="22"/>
        </w:rPr>
      </w:pPr>
      <w:r w:rsidRPr="00B91CB2">
        <w:rPr>
          <w:sz w:val="22"/>
          <w:szCs w:val="22"/>
        </w:rPr>
        <w:t>* Pretendenta norādītajai hipersaitei ir informatīva nozīme – lai iepirkuma komisija piedāvājuma vērtēšanas procesā gūtu vispārīgu priekšstatu par piedāvāto preci, jo līguma izpildes gaitā piegādātājs var piedāvāt cita ražotāja/pārdevēja preci, atbilstoši iepirkuma tehniskās specifikācijas prasībām.</w:t>
      </w:r>
    </w:p>
    <w:p w:rsidR="00AC411A" w:rsidRPr="00B91CB2" w:rsidRDefault="00AC411A" w:rsidP="00AC411A">
      <w:pPr>
        <w:rPr>
          <w:color w:val="000000" w:themeColor="text1"/>
          <w:sz w:val="22"/>
          <w:szCs w:val="22"/>
        </w:rPr>
      </w:pPr>
    </w:p>
    <w:p w:rsidR="00AC411A" w:rsidRPr="00B91CB2" w:rsidRDefault="00AC411A" w:rsidP="00AC411A">
      <w:pPr>
        <w:jc w:val="both"/>
        <w:rPr>
          <w:i/>
          <w:color w:val="000000"/>
          <w:sz w:val="22"/>
          <w:szCs w:val="22"/>
        </w:rPr>
      </w:pPr>
      <w:r w:rsidRPr="00B91CB2">
        <w:rPr>
          <w:i/>
          <w:color w:val="000000"/>
          <w:sz w:val="22"/>
          <w:szCs w:val="22"/>
        </w:rPr>
        <w:t>Ja tehniskajā specifikācijā ir kāda norāde uz specifisku izcelsmi, īpašu procesu, zīmolu, patentu vai specifisku preču veidu, kas noteiktiem piegādātājiem vai precēm rada priekšrocības vai noraidīšanas iemeslu, pretendents var piedāvāt ekvivalentu.</w:t>
      </w:r>
    </w:p>
    <w:p w:rsidR="00AC411A" w:rsidRPr="00B91CB2" w:rsidRDefault="00AC411A" w:rsidP="00AC411A">
      <w:pPr>
        <w:rPr>
          <w:sz w:val="22"/>
          <w:szCs w:val="22"/>
        </w:rPr>
      </w:pPr>
    </w:p>
    <w:p w:rsidR="00AC411A" w:rsidRPr="00A431ED" w:rsidRDefault="00AC411A" w:rsidP="00AC411A">
      <w:pPr>
        <w:jc w:val="right"/>
        <w:rPr>
          <w:color w:val="000000" w:themeColor="text1"/>
          <w:sz w:val="22"/>
          <w:szCs w:val="22"/>
        </w:rPr>
        <w:sectPr w:rsidR="00AC411A" w:rsidRPr="00A431ED" w:rsidSect="00A05965">
          <w:pgSz w:w="11906" w:h="16838"/>
          <w:pgMar w:top="1418" w:right="851" w:bottom="851" w:left="1418" w:header="720" w:footer="720" w:gutter="0"/>
          <w:pgNumType w:start="1"/>
          <w:cols w:space="720"/>
        </w:sectPr>
      </w:pPr>
    </w:p>
    <w:p w:rsidR="009672B8" w:rsidRDefault="009672B8"/>
    <w:sectPr w:rsidR="009672B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632633"/>
    <w:multiLevelType w:val="multilevel"/>
    <w:tmpl w:val="63AC49E2"/>
    <w:lvl w:ilvl="0">
      <w:start w:val="1"/>
      <w:numFmt w:val="decimal"/>
      <w:lvlText w:val="%1."/>
      <w:lvlJc w:val="left"/>
      <w:pPr>
        <w:ind w:left="360" w:hanging="360"/>
      </w:pPr>
      <w:rPr>
        <w:b/>
        <w:i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411A"/>
    <w:rsid w:val="00725A09"/>
    <w:rsid w:val="009672B8"/>
    <w:rsid w:val="00AC41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8FFAF4B-365E-4726-A67E-83E0186AAF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C411A"/>
    <w:pPr>
      <w:spacing w:after="0" w:line="240" w:lineRule="auto"/>
    </w:pPr>
    <w:rPr>
      <w:rFonts w:ascii="Times New Roman" w:eastAsia="Times New Roman" w:hAnsi="Times New Roman" w:cs="Times New Roman"/>
      <w:sz w:val="24"/>
      <w:szCs w:val="24"/>
      <w:lang w:val="lv-LV"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Syle 1,Virsraksti,Colorful List - Accent 12,Saistīto dokumentu saraksts,Numurets,PPS_Bullet,Table of contents numbered,Citation List,Bullet EY,ERP-List Paragraph,Numbered Para 1,Dot pt,List Paragraph Char Char Char,list paragraph,syle 1"/>
    <w:basedOn w:val="Normal"/>
    <w:uiPriority w:val="34"/>
    <w:qFormat/>
    <w:rsid w:val="00AC411A"/>
    <w:pPr>
      <w:suppressAutoHyphens/>
      <w:ind w:left="720"/>
      <w:contextualSpacing/>
    </w:pPr>
    <w:rPr>
      <w:lang w:val="x-none"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5</Pages>
  <Words>1478</Words>
  <Characters>8428</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rtk</Company>
  <LinksUpToDate>false</LinksUpToDate>
  <CharactersWithSpaces>9887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Egīls</dc:creator>
  <cp:keywords/>
  <dc:description/>
  <cp:lastModifiedBy>Egīls</cp:lastModifiedBy>
  <cp:revision>1</cp:revision>
  <dcterms:created xsi:type="dcterms:W3CDTF">2023-11-10T10:32:00Z</dcterms:created>
  <dcterms:modified xsi:type="dcterms:W3CDTF">2023-11-10T11:32:00Z</dcterms:modified>
</cp:coreProperties>
</file>