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media/image1.jpeg" ContentType="image/jpeg"/>
  <Override PartName="/word/media/image2.jpeg" ContentType="image/jpeg"/>
  <Override PartName="/word/media/image3.jpeg" ContentType="image/jpeg"/>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ascii="Times New Roman" w:hAnsi="Times New Roman" w:cs="Times New Roman"/>
          <w:b/>
          <w:b/>
          <w:sz w:val="24"/>
          <w:szCs w:val="24"/>
        </w:rPr>
      </w:pPr>
      <w:bookmarkStart w:id="0" w:name="_Hlk105594428"/>
      <w:bookmarkEnd w:id="0"/>
      <w:r>
        <w:rPr>
          <w:rFonts w:cs="Times New Roman" w:ascii="Times New Roman" w:hAnsi="Times New Roman"/>
          <w:b/>
          <w:sz w:val="24"/>
          <w:szCs w:val="24"/>
        </w:rPr>
        <w:t xml:space="preserve">  </w:t>
      </w:r>
      <w:r>
        <w:rPr>
          <w:rFonts w:cs="Times New Roman" w:ascii="Times New Roman" w:hAnsi="Times New Roman"/>
          <w:b/>
          <w:sz w:val="24"/>
          <w:szCs w:val="24"/>
        </w:rPr>
        <w:t>APSTIPRINĀTS</w:t>
      </w:r>
    </w:p>
    <w:p>
      <w:pPr>
        <w:pStyle w:val="Normal"/>
        <w:jc w:val="right"/>
        <w:rPr>
          <w:rFonts w:ascii="Times New Roman" w:hAnsi="Times New Roman" w:cs="Times New Roman"/>
          <w:sz w:val="24"/>
          <w:szCs w:val="24"/>
        </w:rPr>
      </w:pPr>
      <w:r>
        <w:rPr>
          <w:rFonts w:cs="Times New Roman" w:ascii="Times New Roman" w:hAnsi="Times New Roman"/>
          <w:sz w:val="24"/>
          <w:szCs w:val="24"/>
        </w:rPr>
        <w:t>Limbažu novada pašvaldības</w:t>
      </w:r>
    </w:p>
    <w:p>
      <w:pPr>
        <w:pStyle w:val="Normal"/>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Iepirkumu komisijas</w:t>
      </w:r>
    </w:p>
    <w:p>
      <w:pPr>
        <w:pStyle w:val="Normal"/>
        <w:jc w:val="right"/>
        <w:rPr>
          <w:rFonts w:ascii="Times New Roman" w:hAnsi="Times New Roman" w:cs="Times New Roman"/>
          <w:sz w:val="24"/>
          <w:szCs w:val="24"/>
        </w:rPr>
      </w:pPr>
      <w:r>
        <w:rPr>
          <w:rFonts w:cs="Times New Roman" w:ascii="Times New Roman" w:hAnsi="Times New Roman"/>
          <w:sz w:val="24"/>
          <w:szCs w:val="24"/>
        </w:rPr>
        <w:t>2024. gada 16. janvāra sēdē</w:t>
      </w:r>
    </w:p>
    <w:p>
      <w:pPr>
        <w:pStyle w:val="Normal"/>
        <w:jc w:val="right"/>
        <w:rPr>
          <w:rFonts w:ascii="Times New Roman" w:hAnsi="Times New Roman" w:cs="Times New Roman"/>
          <w:sz w:val="24"/>
          <w:szCs w:val="24"/>
        </w:rPr>
      </w:pPr>
      <w:r>
        <w:rPr>
          <w:rFonts w:cs="Times New Roman" w:ascii="Times New Roman" w:hAnsi="Times New Roman"/>
          <w:sz w:val="24"/>
          <w:szCs w:val="24"/>
        </w:rPr>
        <w:t>Protokols Nr. 11 - 1</w:t>
      </w:r>
    </w:p>
    <w:p>
      <w:pPr>
        <w:pStyle w:val="Normal"/>
        <w:tabs>
          <w:tab w:val="clear" w:pos="567"/>
          <w:tab w:val="left" w:pos="7932" w:leader="none"/>
        </w:tabs>
        <w:spacing w:before="240" w:after="240"/>
        <w:rPr>
          <w:rFonts w:ascii="Times New Roman" w:hAnsi="Times New Roman" w:cs="Times New Roman"/>
          <w:b/>
          <w:b/>
          <w:bCs/>
          <w:sz w:val="24"/>
          <w:szCs w:val="24"/>
        </w:rPr>
      </w:pPr>
      <w:r>
        <w:rPr>
          <w:rFonts w:cs="Times New Roman" w:ascii="Times New Roman" w:hAnsi="Times New Roman"/>
          <w:b/>
          <w:bCs/>
          <w:sz w:val="24"/>
          <w:szCs w:val="24"/>
        </w:rPr>
        <w:tab/>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tabs>
          <w:tab w:val="clear" w:pos="567"/>
          <w:tab w:val="left" w:pos="7416" w:leader="none"/>
        </w:tabs>
        <w:spacing w:before="240" w:after="240"/>
        <w:rPr>
          <w:rFonts w:ascii="Times New Roman" w:hAnsi="Times New Roman" w:cs="Times New Roman"/>
          <w:b/>
          <w:b/>
          <w:bCs/>
          <w:sz w:val="24"/>
          <w:szCs w:val="24"/>
        </w:rPr>
      </w:pPr>
      <w:r>
        <w:rPr>
          <w:rFonts w:cs="Times New Roman" w:ascii="Times New Roman" w:hAnsi="Times New Roman"/>
          <w:b/>
          <w:bCs/>
          <w:sz w:val="24"/>
          <w:szCs w:val="24"/>
        </w:rPr>
        <w:tab/>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t>LIMBAŽU NOVADA PAŠVALDĪBAS</w:t>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t>IEPIRKUMA</w:t>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b/>
          <w:b/>
          <w:bCs/>
          <w:sz w:val="32"/>
          <w:szCs w:val="32"/>
        </w:rPr>
      </w:pPr>
      <w:r>
        <w:rPr>
          <w:rFonts w:cs="Times New Roman" w:ascii="Times New Roman" w:hAnsi="Times New Roman"/>
          <w:b/>
          <w:bCs/>
          <w:sz w:val="32"/>
          <w:szCs w:val="32"/>
        </w:rPr>
        <w:t>“</w:t>
      </w:r>
      <w:r>
        <w:rPr>
          <w:rFonts w:cs="Times New Roman" w:ascii="Times New Roman" w:hAnsi="Times New Roman"/>
          <w:b/>
          <w:bCs/>
          <w:sz w:val="32"/>
          <w:szCs w:val="32"/>
        </w:rPr>
        <w:t>NEKUSTAMĀ ĪPAŠUMA TIRGUS VĒRTĪBAS, TIRGUS NOMAS MAKSAS NOTEIKŠANA UN RAKSTVEIDA ATZINUMA IZGATAVOŠANAS PAKALPOJUMI”</w:t>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b/>
          <w:b/>
          <w:sz w:val="24"/>
          <w:szCs w:val="24"/>
        </w:rPr>
      </w:pPr>
      <w:r>
        <w:rPr>
          <w:rFonts w:cs="Times New Roman" w:ascii="Times New Roman" w:hAnsi="Times New Roman"/>
          <w:b/>
          <w:bCs/>
          <w:sz w:val="24"/>
          <w:szCs w:val="24"/>
        </w:rPr>
        <w:t>Iepirkuma identifikācijas Nr.</w:t>
      </w:r>
      <w:r>
        <w:rPr>
          <w:rFonts w:ascii="Times New Roman" w:hAnsi="Times New Roman"/>
          <w:b/>
          <w:sz w:val="24"/>
          <w:szCs w:val="24"/>
        </w:rPr>
        <w:t xml:space="preserve"> LNP 2024/11</w:t>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b/>
          <w:b/>
          <w:bCs/>
          <w:sz w:val="24"/>
          <w:szCs w:val="24"/>
        </w:rPr>
      </w:pPr>
      <w:r>
        <w:rPr>
          <w:rFonts w:cs="Times New Roman" w:ascii="Times New Roman" w:hAnsi="Times New Roman"/>
          <w:b/>
          <w:bCs/>
          <w:sz w:val="24"/>
          <w:szCs w:val="24"/>
        </w:rPr>
        <w:t>NOLIKUMS</w:t>
      </w:r>
    </w:p>
    <w:p>
      <w:pPr>
        <w:pStyle w:val="Normal"/>
        <w:spacing w:before="240" w:after="24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Virsraksts1"/>
        <w:numPr>
          <w:ilvl w:val="0"/>
          <w:numId w:val="0"/>
        </w:numPr>
        <w:ind w:left="0" w:hanging="0"/>
        <w:rPr>
          <w:sz w:val="24"/>
          <w:szCs w:val="24"/>
        </w:rPr>
      </w:pPr>
      <w:r>
        <w:rPr>
          <w:sz w:val="24"/>
          <w:szCs w:val="24"/>
        </w:rPr>
      </w:r>
    </w:p>
    <w:p>
      <w:pPr>
        <w:pStyle w:val="Virsraksts1"/>
        <w:numPr>
          <w:ilvl w:val="0"/>
          <w:numId w:val="0"/>
        </w:numPr>
        <w:ind w:left="0" w:hanging="0"/>
        <w:rPr>
          <w:sz w:val="24"/>
          <w:szCs w:val="24"/>
        </w:rPr>
      </w:pPr>
      <w:r>
        <w:rPr>
          <w:sz w:val="24"/>
          <w:szCs w:val="24"/>
        </w:rPr>
      </w:r>
    </w:p>
    <w:p>
      <w:pPr>
        <w:pStyle w:val="Virsraksts1"/>
        <w:numPr>
          <w:ilvl w:val="0"/>
          <w:numId w:val="0"/>
        </w:numPr>
        <w:ind w:left="0" w:hanging="0"/>
        <w:rPr>
          <w:sz w:val="24"/>
          <w:szCs w:val="24"/>
        </w:rPr>
      </w:pPr>
      <w:r>
        <w:rPr>
          <w:sz w:val="24"/>
          <w:szCs w:val="24"/>
        </w:rPr>
      </w:r>
    </w:p>
    <w:p>
      <w:pPr>
        <w:pStyle w:val="Virsraksts1"/>
        <w:numPr>
          <w:ilvl w:val="0"/>
          <w:numId w:val="0"/>
        </w:numPr>
        <w:ind w:left="0" w:hanging="0"/>
        <w:jc w:val="left"/>
        <w:rPr>
          <w:sz w:val="24"/>
          <w:szCs w:val="24"/>
        </w:rPr>
      </w:pPr>
      <w:r>
        <w:rPr>
          <w:sz w:val="24"/>
          <w:szCs w:val="24"/>
        </w:rPr>
        <w:tab/>
        <w:tab/>
      </w:r>
    </w:p>
    <w:p>
      <w:pPr>
        <w:pStyle w:val="Normal"/>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Normal"/>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Normal"/>
        <w:jc w:val="center"/>
        <w:rPr>
          <w:rFonts w:ascii="Times New Roman" w:hAnsi="Times New Roman" w:cs="Times New Roman"/>
          <w:sz w:val="24"/>
          <w:szCs w:val="24"/>
          <w:lang w:eastAsia="en-US"/>
        </w:rPr>
      </w:pPr>
      <w:r>
        <w:rPr>
          <w:rFonts w:cs="Times New Roman" w:ascii="Times New Roman" w:hAnsi="Times New Roman"/>
          <w:sz w:val="24"/>
          <w:szCs w:val="24"/>
          <w:lang w:eastAsia="en-US"/>
        </w:rPr>
        <w:t>Limbažos, 2024</w:t>
      </w:r>
      <w:r>
        <w:br w:type="page"/>
      </w:r>
    </w:p>
    <w:p>
      <w:pPr>
        <w:pStyle w:val="Virsraksts1"/>
        <w:numPr>
          <w:ilvl w:val="0"/>
          <w:numId w:val="2"/>
        </w:numPr>
        <w:ind w:left="0" w:hanging="0"/>
        <w:rPr>
          <w:sz w:val="24"/>
          <w:szCs w:val="24"/>
        </w:rPr>
      </w:pPr>
      <w:r>
        <w:rPr>
          <w:sz w:val="24"/>
          <w:szCs w:val="24"/>
        </w:rPr>
        <w:t>VISPĀRĪGA INFORMĀCIJA PAR IEPIRKUMU</w:t>
      </w:r>
    </w:p>
    <w:p>
      <w:pPr>
        <w:pStyle w:val="Normal"/>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Galvene"/>
        <w:numPr>
          <w:ilvl w:val="1"/>
          <w:numId w:val="5"/>
        </w:numPr>
        <w:tabs>
          <w:tab w:val="clear" w:pos="4320"/>
          <w:tab w:val="clear" w:pos="8640"/>
        </w:tabs>
        <w:ind w:left="426" w:hanging="426"/>
        <w:rPr>
          <w:rFonts w:ascii="Times New Roman" w:hAnsi="Times New Roman"/>
          <w:sz w:val="24"/>
          <w:szCs w:val="24"/>
          <w:lang w:val="lv-LV"/>
        </w:rPr>
      </w:pPr>
      <w:r>
        <w:rPr>
          <w:rFonts w:ascii="Times New Roman" w:hAnsi="Times New Roman"/>
          <w:sz w:val="24"/>
          <w:szCs w:val="24"/>
          <w:lang w:val="lv-LV"/>
        </w:rPr>
        <w:t>Iepirkuma identifikācijas numurs - LNP 2024/11.</w:t>
      </w:r>
    </w:p>
    <w:p>
      <w:pPr>
        <w:pStyle w:val="Galvene"/>
        <w:numPr>
          <w:ilvl w:val="1"/>
          <w:numId w:val="5"/>
        </w:numPr>
        <w:tabs>
          <w:tab w:val="clear" w:pos="4320"/>
          <w:tab w:val="clear" w:pos="8640"/>
        </w:tabs>
        <w:ind w:left="426" w:hanging="426"/>
        <w:rPr>
          <w:rFonts w:ascii="Times New Roman" w:hAnsi="Times New Roman"/>
          <w:b/>
          <w:b/>
          <w:sz w:val="24"/>
          <w:szCs w:val="24"/>
          <w:lang w:val="lv-LV"/>
        </w:rPr>
      </w:pPr>
      <w:r>
        <w:rPr>
          <w:rFonts w:ascii="Times New Roman" w:hAnsi="Times New Roman"/>
          <w:sz w:val="24"/>
          <w:szCs w:val="24"/>
          <w:lang w:val="lv-LV"/>
        </w:rPr>
        <w:t>Pasūtītājs</w:t>
      </w:r>
    </w:p>
    <w:tbl>
      <w:tblPr>
        <w:tblW w:w="9498" w:type="dxa"/>
        <w:jc w:val="left"/>
        <w:tblInd w:w="221" w:type="dxa"/>
        <w:tblLayout w:type="fixed"/>
        <w:tblCellMar>
          <w:top w:w="0" w:type="dxa"/>
          <w:left w:w="108" w:type="dxa"/>
          <w:bottom w:w="0" w:type="dxa"/>
          <w:right w:w="108" w:type="dxa"/>
        </w:tblCellMar>
        <w:tblLook w:firstRow="0" w:noVBand="0" w:lastRow="0" w:firstColumn="0" w:lastColumn="0" w:noHBand="0" w:val="0000"/>
      </w:tblPr>
      <w:tblGrid>
        <w:gridCol w:w="3402"/>
        <w:gridCol w:w="6095"/>
      </w:tblGrid>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Pasūtītāja nosaukums</w:t>
            </w:r>
          </w:p>
        </w:tc>
        <w:tc>
          <w:tcPr>
            <w:tcW w:w="6095" w:type="dxa"/>
            <w:tcBorders>
              <w:top w:val="single" w:sz="4" w:space="0" w:color="000000"/>
              <w:left w:val="single" w:sz="4" w:space="0" w:color="000000"/>
              <w:bottom w:val="single" w:sz="4" w:space="0" w:color="000000"/>
              <w:right w:val="single" w:sz="4" w:space="0" w:color="000000"/>
            </w:tcBorders>
          </w:tcPr>
          <w:p>
            <w:pPr>
              <w:pStyle w:val="Kjene"/>
              <w:widowControl w:val="false"/>
              <w:jc w:val="both"/>
              <w:rPr>
                <w:color w:val="000000"/>
                <w:sz w:val="24"/>
                <w:szCs w:val="24"/>
              </w:rPr>
            </w:pPr>
            <w:r>
              <w:rPr>
                <w:color w:val="000000"/>
                <w:sz w:val="24"/>
                <w:szCs w:val="24"/>
              </w:rPr>
              <w:t>Limbažu novada pašvaldība</w:t>
            </w:r>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Juridiskā  un pasta adrese</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color w:val="000000"/>
                <w:sz w:val="24"/>
                <w:szCs w:val="24"/>
              </w:rPr>
              <w:t>Rīgas iela 16, Limbaži, Limbažu novads, LV-4001</w:t>
            </w:r>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Nodokļu maksātāja reģistrācijas numurs</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sz w:val="24"/>
                <w:szCs w:val="24"/>
              </w:rPr>
              <w:t>90009114631</w:t>
            </w:r>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color w:val="000000"/>
                <w:sz w:val="24"/>
                <w:szCs w:val="24"/>
              </w:rPr>
            </w:pPr>
            <w:r>
              <w:rPr>
                <w:rFonts w:cs="Times New Roman" w:ascii="Times New Roman" w:hAnsi="Times New Roman"/>
                <w:bCs/>
                <w:color w:val="000000"/>
                <w:sz w:val="24"/>
                <w:szCs w:val="24"/>
              </w:rPr>
              <w:t>Bankas nosaukums</w:t>
            </w:r>
          </w:p>
          <w:p>
            <w:pPr>
              <w:pStyle w:val="Normal"/>
              <w:widowControl w:val="false"/>
              <w:rPr>
                <w:rFonts w:ascii="Times New Roman" w:hAnsi="Times New Roman" w:cs="Times New Roman"/>
                <w:bCs/>
                <w:color w:val="000000"/>
                <w:sz w:val="24"/>
                <w:szCs w:val="24"/>
              </w:rPr>
            </w:pPr>
            <w:r>
              <w:rPr>
                <w:rFonts w:cs="Times New Roman" w:ascii="Times New Roman" w:hAnsi="Times New Roman"/>
                <w:bCs/>
                <w:color w:val="000000"/>
                <w:sz w:val="24"/>
                <w:szCs w:val="24"/>
              </w:rPr>
              <w:t>Konta numurs</w:t>
            </w:r>
          </w:p>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Kods</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AS “SEB banka”</w:t>
            </w:r>
          </w:p>
          <w:p>
            <w:pPr>
              <w:pStyle w:val="Normal"/>
              <w:widowControl w:val="false"/>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LV87UNLA 0050002396446</w:t>
            </w:r>
          </w:p>
          <w:p>
            <w:pPr>
              <w:pStyle w:val="Normal"/>
              <w:widowControl w:val="false"/>
              <w:rPr>
                <w:rFonts w:ascii="Times New Roman" w:hAnsi="Times New Roman" w:cs="Times New Roman"/>
                <w:color w:val="000000"/>
                <w:sz w:val="24"/>
                <w:szCs w:val="24"/>
              </w:rPr>
            </w:pPr>
            <w:r>
              <w:rPr>
                <w:rFonts w:ascii="RobustaTLPro-Regular" w:hAnsi="RobustaTLPro-Regular"/>
                <w:color w:val="000000" w:themeColor="text1"/>
                <w:sz w:val="23"/>
                <w:szCs w:val="23"/>
                <w:shd w:fill="FFFFFF" w:val="clear"/>
              </w:rPr>
              <w:t>UNLALV2X</w:t>
            </w:r>
          </w:p>
        </w:tc>
      </w:tr>
      <w:tr>
        <w:trPr>
          <w:trHeight w:val="594"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color w:val="000000"/>
                <w:sz w:val="24"/>
                <w:szCs w:val="24"/>
              </w:rPr>
            </w:pPr>
            <w:r>
              <w:rPr>
                <w:rFonts w:cs="Times New Roman" w:ascii="Times New Roman" w:hAnsi="Times New Roman"/>
                <w:bCs/>
                <w:color w:val="000000"/>
                <w:sz w:val="24"/>
                <w:szCs w:val="24"/>
              </w:rPr>
              <w:t>Kontaktpersona</w:t>
            </w:r>
          </w:p>
          <w:p>
            <w:pPr>
              <w:pStyle w:val="Normal"/>
              <w:widowControl w:val="false"/>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ind w:right="-86" w:hanging="0"/>
              <w:jc w:val="both"/>
              <w:rPr>
                <w:rFonts w:ascii="Times New Roman" w:hAnsi="Times New Roman" w:cs="Times New Roman"/>
                <w:sz w:val="24"/>
                <w:szCs w:val="24"/>
              </w:rPr>
            </w:pPr>
            <w:r>
              <w:rPr>
                <w:rFonts w:cs="Times New Roman" w:ascii="Times New Roman" w:hAnsi="Times New Roman"/>
                <w:sz w:val="24"/>
                <w:szCs w:val="24"/>
              </w:rPr>
              <w:t>Liene Bukne, Limbažu novada pašvaldības Centrālās pārvaldes Juridiskās nodaļas Iepirkumu daļas vecākā iepirkumu speciāliste, 410. kab., Rīgas iela 16, Limbaži, Limbažu novads, LV-4001</w:t>
            </w:r>
          </w:p>
        </w:tc>
      </w:tr>
      <w:tr>
        <w:trPr>
          <w:trHeight w:val="322"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Tālruņa numurs</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color w:val="000000"/>
                <w:sz w:val="24"/>
                <w:szCs w:val="24"/>
              </w:rPr>
              <w:t>26920970</w:t>
            </w:r>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r>
              <w:rPr>
                <w:rFonts w:cs="Times New Roman" w:ascii="Times New Roman" w:hAnsi="Times New Roman"/>
                <w:bCs/>
                <w:color w:val="000000"/>
                <w:sz w:val="24"/>
                <w:szCs w:val="24"/>
              </w:rPr>
              <w:t>E-pasta adrese</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sz w:val="24"/>
                <w:szCs w:val="24"/>
              </w:rPr>
            </w:pPr>
            <w:hyperlink r:id="rId2">
              <w:r>
                <w:rPr>
                  <w:rStyle w:val="Hipersaite1"/>
                  <w:rFonts w:cs="Times New Roman" w:ascii="Times New Roman" w:hAnsi="Times New Roman"/>
                  <w:sz w:val="24"/>
                  <w:szCs w:val="24"/>
                </w:rPr>
                <w:t>iepirkumi@limbazunovads.lv</w:t>
              </w:r>
            </w:hyperlink>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color w:val="000000"/>
                <w:sz w:val="24"/>
                <w:szCs w:val="24"/>
              </w:rPr>
            </w:pPr>
            <w:r>
              <w:rPr>
                <w:rFonts w:cs="Times New Roman" w:ascii="Times New Roman" w:hAnsi="Times New Roman"/>
                <w:bCs/>
                <w:color w:val="000000"/>
                <w:sz w:val="24"/>
                <w:szCs w:val="24"/>
              </w:rPr>
              <w:t>Tīmekļvietnes adrese</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4"/>
                <w:szCs w:val="24"/>
              </w:rPr>
            </w:pPr>
            <w:hyperlink r:id="rId3">
              <w:r>
                <w:rPr>
                  <w:rStyle w:val="Hipersaite1"/>
                  <w:rFonts w:cs="Times New Roman" w:ascii="Times New Roman" w:hAnsi="Times New Roman"/>
                  <w:kern w:val="2"/>
                  <w:sz w:val="24"/>
                  <w:szCs w:val="24"/>
                </w:rPr>
                <w:t>www.limbazunovads.lv</w:t>
              </w:r>
            </w:hyperlink>
          </w:p>
        </w:tc>
      </w:tr>
      <w:tr>
        <w:trPr>
          <w:trHeight w:val="320" w:hRule="atLeast"/>
        </w:trPr>
        <w:tc>
          <w:tcPr>
            <w:tcW w:w="3402" w:type="dxa"/>
            <w:tcBorders>
              <w:top w:val="single" w:sz="4" w:space="0" w:color="000000"/>
              <w:left w:val="single" w:sz="4" w:space="0" w:color="000000"/>
              <w:bottom w:val="single" w:sz="4" w:space="0" w:color="000000"/>
              <w:right w:val="single" w:sz="4" w:space="0" w:color="000000"/>
            </w:tcBorders>
          </w:tcPr>
          <w:p>
            <w:pPr>
              <w:pStyle w:val="Pamatteksts"/>
              <w:widowControl w:val="false"/>
              <w:spacing w:before="0" w:after="0"/>
              <w:jc w:val="both"/>
              <w:rPr>
                <w:rFonts w:ascii="Times New Roman" w:hAnsi="Times New Roman" w:cs="Times New Roman"/>
                <w:kern w:val="2"/>
                <w:sz w:val="24"/>
                <w:szCs w:val="24"/>
              </w:rPr>
            </w:pPr>
            <w:r>
              <w:rPr>
                <w:rFonts w:cs="Times New Roman" w:ascii="Times New Roman" w:hAnsi="Times New Roman"/>
                <w:kern w:val="2"/>
                <w:sz w:val="24"/>
                <w:szCs w:val="24"/>
              </w:rPr>
              <w:t>Pircēja profila adrese</w:t>
            </w:r>
          </w:p>
        </w:tc>
        <w:tc>
          <w:tcPr>
            <w:tcW w:w="609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sz w:val="24"/>
                <w:szCs w:val="24"/>
              </w:rPr>
            </w:pPr>
            <w:hyperlink r:id="rId4" w:tgtFrame="_blank">
              <w:r>
                <w:rPr>
                  <w:rStyle w:val="Hipersaite1"/>
                  <w:rFonts w:cs="Times New Roman" w:ascii="Times New Roman" w:hAnsi="Times New Roman"/>
                  <w:kern w:val="2"/>
                  <w:sz w:val="24"/>
                  <w:szCs w:val="24"/>
                </w:rPr>
                <w:t>https://www.eis.gov.lv/EKEIS/Supplier/Organizer/301</w:t>
              </w:r>
            </w:hyperlink>
          </w:p>
        </w:tc>
      </w:tr>
    </w:tbl>
    <w:p>
      <w:pPr>
        <w:pStyle w:val="Galvene"/>
        <w:tabs>
          <w:tab w:val="clear" w:pos="4320"/>
          <w:tab w:val="clear" w:pos="8640"/>
        </w:tabs>
        <w:ind w:left="720" w:hanging="0"/>
        <w:rPr>
          <w:rFonts w:ascii="Times New Roman" w:hAnsi="Times New Roman"/>
          <w:b/>
          <w:b/>
          <w:sz w:val="24"/>
          <w:szCs w:val="24"/>
          <w:lang w:val="lv-LV"/>
        </w:rPr>
      </w:pPr>
      <w:r>
        <w:rPr>
          <w:rFonts w:ascii="Times New Roman" w:hAnsi="Times New Roman"/>
          <w:b/>
          <w:sz w:val="24"/>
          <w:szCs w:val="24"/>
          <w:lang w:val="lv-LV"/>
        </w:rPr>
      </w:r>
    </w:p>
    <w:p>
      <w:pPr>
        <w:pStyle w:val="Galvene"/>
        <w:numPr>
          <w:ilvl w:val="1"/>
          <w:numId w:val="5"/>
        </w:numPr>
        <w:tabs>
          <w:tab w:val="clear" w:pos="4320"/>
          <w:tab w:val="clear" w:pos="8640"/>
        </w:tabs>
        <w:jc w:val="both"/>
        <w:rPr>
          <w:rFonts w:ascii="Times New Roman" w:hAnsi="Times New Roman"/>
          <w:b/>
          <w:b/>
          <w:sz w:val="24"/>
          <w:szCs w:val="24"/>
          <w:lang w:val="lv-LV"/>
        </w:rPr>
      </w:pPr>
      <w:r>
        <w:rPr>
          <w:rFonts w:ascii="Times New Roman" w:hAnsi="Times New Roman"/>
          <w:kern w:val="2"/>
          <w:sz w:val="24"/>
          <w:szCs w:val="24"/>
          <w:lang w:val="lv-LV"/>
        </w:rPr>
        <w:t xml:space="preserve">Iepirkumam </w:t>
      </w:r>
      <w:r>
        <w:rPr>
          <w:rFonts w:ascii="Times New Roman" w:hAnsi="Times New Roman"/>
          <w:sz w:val="24"/>
          <w:szCs w:val="24"/>
          <w:lang w:val="lv-LV"/>
        </w:rPr>
        <w:t>tiek piemērota Publisko iepirkumu likuma 9. pantā noteiktā kārtība.</w:t>
      </w:r>
      <w:r>
        <w:rPr>
          <w:rFonts w:ascii="Times New Roman" w:hAnsi="Times New Roman"/>
          <w:b/>
          <w:sz w:val="24"/>
          <w:szCs w:val="24"/>
          <w:lang w:val="lv-LV"/>
        </w:rPr>
        <w:t xml:space="preserve"> </w:t>
      </w:r>
    </w:p>
    <w:p>
      <w:pPr>
        <w:pStyle w:val="Galvene"/>
        <w:numPr>
          <w:ilvl w:val="1"/>
          <w:numId w:val="5"/>
        </w:numPr>
        <w:tabs>
          <w:tab w:val="clear" w:pos="4320"/>
          <w:tab w:val="clear" w:pos="8640"/>
        </w:tabs>
        <w:jc w:val="both"/>
        <w:rPr>
          <w:rFonts w:ascii="Times New Roman" w:hAnsi="Times New Roman"/>
          <w:b/>
          <w:b/>
          <w:sz w:val="24"/>
          <w:szCs w:val="24"/>
          <w:lang w:val="lv-LV"/>
        </w:rPr>
      </w:pPr>
      <w:r>
        <w:rPr>
          <w:rFonts w:ascii="Times New Roman" w:hAnsi="Times New Roman"/>
          <w:sz w:val="24"/>
          <w:szCs w:val="24"/>
          <w:lang w:val="lv-LV"/>
        </w:rPr>
        <w:t>Iepirkuma veikšanas rezultātā paredzēts noslēgt iepirkuma līgumu.</w:t>
      </w:r>
    </w:p>
    <w:p>
      <w:pPr>
        <w:pStyle w:val="Galvene"/>
        <w:numPr>
          <w:ilvl w:val="1"/>
          <w:numId w:val="5"/>
        </w:numPr>
        <w:tabs>
          <w:tab w:val="clear" w:pos="4320"/>
          <w:tab w:val="clear" w:pos="8640"/>
        </w:tabs>
        <w:jc w:val="both"/>
        <w:rPr>
          <w:rFonts w:ascii="Times New Roman" w:hAnsi="Times New Roman"/>
          <w:b/>
          <w:b/>
          <w:sz w:val="24"/>
          <w:szCs w:val="24"/>
          <w:lang w:val="lv-LV"/>
        </w:rPr>
      </w:pPr>
      <w:bookmarkStart w:id="1" w:name="_Toc196038775"/>
      <w:r>
        <w:rPr>
          <w:rFonts w:ascii="Times New Roman" w:hAnsi="Times New Roman"/>
          <w:kern w:val="2"/>
          <w:sz w:val="24"/>
          <w:szCs w:val="24"/>
          <w:lang w:val="lv-LV"/>
        </w:rPr>
        <w:t>Iepirkumu veikšanai Pasūtītājs ir izveidojis Limbažu novada pašvaldības Iepirkumu komisiju (turpmāk – Komisija), kas pārstāv pasūtītāja intereses.</w:t>
      </w:r>
      <w:bookmarkEnd w:id="1"/>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Virsraksts1"/>
        <w:numPr>
          <w:ilvl w:val="0"/>
          <w:numId w:val="2"/>
        </w:numPr>
        <w:tabs>
          <w:tab w:val="clear" w:pos="567"/>
          <w:tab w:val="left" w:pos="426" w:leader="none"/>
        </w:tabs>
        <w:ind w:left="0" w:hanging="0"/>
        <w:rPr>
          <w:sz w:val="24"/>
          <w:szCs w:val="24"/>
        </w:rPr>
      </w:pPr>
      <w:r>
        <w:rPr>
          <w:sz w:val="24"/>
          <w:szCs w:val="24"/>
        </w:rPr>
        <w:t>IEPIRKUMA PRIEKŠMETS</w:t>
      </w:r>
    </w:p>
    <w:p>
      <w:pPr>
        <w:pStyle w:val="Normal"/>
        <w:rPr>
          <w:lang w:eastAsia="en-US"/>
        </w:rPr>
      </w:pPr>
      <w:r>
        <w:rPr>
          <w:lang w:eastAsia="en-US"/>
        </w:rPr>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Iepirkuma priekšmets – nekustamā īpašuma tirgus vērtības, tirgus nomas maksas noteikšana un rakstveida atzinuma izgatavošanas pakalpojumi, kuru detalizēts apraksts norādīts nolikuma 2. pielikumā pievienotajā Tehniskajā specifikācijā.</w:t>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Iepirkuma priekšmeta CPV kods: </w:t>
      </w:r>
      <w:r>
        <w:rPr>
          <w:rFonts w:ascii="Times New Roman" w:hAnsi="Times New Roman"/>
          <w:bCs/>
          <w:sz w:val="24"/>
          <w:szCs w:val="24"/>
        </w:rPr>
        <w:t>79419000-4 (Novērtēšanas konsultāciju pakalpojumi</w:t>
      </w:r>
      <w:r>
        <w:rPr>
          <w:rFonts w:cs="Times New Roman" w:ascii="Times New Roman" w:hAnsi="Times New Roman"/>
          <w:sz w:val="24"/>
          <w:szCs w:val="24"/>
        </w:rPr>
        <w:t>)</w:t>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Iepirkuma priekšmets nav sadalīts daļās.</w:t>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Iepirkuma līguma izpildes vieta: Limbažu novads.</w:t>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Darbu izpildes uzsākšanas laiks: 2024. gada februāris.</w:t>
      </w:r>
    </w:p>
    <w:p>
      <w:pPr>
        <w:pStyle w:val="Normal"/>
        <w:numPr>
          <w:ilvl w:val="1"/>
          <w:numId w:val="4"/>
        </w:numPr>
        <w:ind w:left="709" w:hanging="709"/>
        <w:jc w:val="both"/>
        <w:rPr>
          <w:rFonts w:ascii="Times New Roman" w:hAnsi="Times New Roman" w:cs="Times New Roman"/>
          <w:sz w:val="24"/>
          <w:szCs w:val="24"/>
        </w:rPr>
      </w:pPr>
      <w:r>
        <w:rPr>
          <w:rFonts w:cs="Times New Roman" w:ascii="Times New Roman" w:hAnsi="Times New Roman"/>
          <w:sz w:val="24"/>
          <w:szCs w:val="24"/>
        </w:rPr>
        <w:t>Iepirkuma līguma izpildes laiks: 12 (divpadsmit) mēneši no iepirkuma līguma noslēgšanas. Konkrēta nekustamā īpašuma vērtēšana jāveic 15 (piecpadsmit) darba dienu laikā pēc pasūtītāja pieprasījuma (darba uzdevuma) saņemšanas.</w:t>
      </w:r>
    </w:p>
    <w:p>
      <w:pPr>
        <w:pStyle w:val="Normal"/>
        <w:numPr>
          <w:ilvl w:val="1"/>
          <w:numId w:val="4"/>
        </w:numPr>
        <w:ind w:left="709" w:hanging="709"/>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Maksimālā līguma summa par kuru tiek noslēgts līgums ir </w:t>
      </w:r>
      <w:r>
        <w:rPr>
          <w:rFonts w:cs="Times New Roman" w:ascii="Times New Roman" w:hAnsi="Times New Roman"/>
          <w:b/>
          <w:color w:val="000000" w:themeColor="text1"/>
          <w:sz w:val="24"/>
          <w:szCs w:val="24"/>
        </w:rPr>
        <w:t>20 000 EUR</w:t>
      </w:r>
      <w:r>
        <w:rPr>
          <w:rFonts w:cs="Times New Roman" w:ascii="Times New Roman" w:hAnsi="Times New Roman"/>
          <w:color w:val="000000" w:themeColor="text1"/>
          <w:sz w:val="24"/>
          <w:szCs w:val="24"/>
        </w:rPr>
        <w:t xml:space="preserve"> (divdesmit tūkstoši </w:t>
      </w:r>
      <w:r>
        <w:rPr>
          <w:rFonts w:cs="Times New Roman" w:ascii="Times New Roman" w:hAnsi="Times New Roman"/>
          <w:i/>
          <w:color w:val="000000" w:themeColor="text1"/>
          <w:sz w:val="24"/>
          <w:szCs w:val="24"/>
        </w:rPr>
        <w:t>euro</w:t>
      </w:r>
      <w:r>
        <w:rPr>
          <w:rFonts w:cs="Times New Roman" w:ascii="Times New Roman" w:hAnsi="Times New Roman"/>
          <w:color w:val="000000" w:themeColor="text1"/>
          <w:sz w:val="24"/>
          <w:szCs w:val="24"/>
        </w:rPr>
        <w:t>) bez PVN.</w:t>
      </w:r>
    </w:p>
    <w:p>
      <w:pPr>
        <w:pStyle w:val="Normal"/>
        <w:numPr>
          <w:ilvl w:val="1"/>
          <w:numId w:val="4"/>
        </w:numPr>
        <w:ind w:left="709" w:hanging="709"/>
        <w:jc w:val="both"/>
        <w:rPr>
          <w:rFonts w:ascii="Times New Roman" w:hAnsi="Times New Roman" w:cs="Times New Roman"/>
          <w:sz w:val="24"/>
          <w:szCs w:val="24"/>
        </w:rPr>
      </w:pPr>
      <w:bookmarkStart w:id="2" w:name="_Toc196038787"/>
      <w:r>
        <w:rPr>
          <w:rFonts w:cs="Times New Roman" w:ascii="Times New Roman" w:hAnsi="Times New Roman"/>
          <w:sz w:val="24"/>
          <w:szCs w:val="24"/>
        </w:rPr>
        <w:t>Iepirkuma līguma apmaksa: pasūtītājs veic samaksu izpildītājam par paveikto pakalpojumu, kad veikta pakalpojuma izpilde atbilstoši faktiski paveiktajam darbam 15 (piecpadsmit) dienu laikā pēc pakalpojuma pieņemšanas-nodošanas akta parakstīšanas un izpildītāja rēķina saņemšanas.</w:t>
      </w:r>
      <w:bookmarkEnd w:id="2"/>
    </w:p>
    <w:p>
      <w:pPr>
        <w:pStyle w:val="Normal"/>
        <w:ind w:left="709" w:hanging="0"/>
        <w:jc w:val="both"/>
        <w:rPr>
          <w:rFonts w:ascii="Times New Roman" w:hAnsi="Times New Roman" w:cs="Times New Roman"/>
          <w:sz w:val="24"/>
          <w:szCs w:val="24"/>
        </w:rPr>
      </w:pPr>
      <w:r>
        <w:rPr>
          <w:rFonts w:cs="Times New Roman" w:ascii="Times New Roman" w:hAnsi="Times New Roman"/>
          <w:sz w:val="24"/>
          <w:szCs w:val="24"/>
        </w:rPr>
      </w:r>
    </w:p>
    <w:p>
      <w:pPr>
        <w:pStyle w:val="Virsraksts1"/>
        <w:numPr>
          <w:ilvl w:val="0"/>
          <w:numId w:val="2"/>
        </w:numPr>
        <w:tabs>
          <w:tab w:val="clear" w:pos="567"/>
          <w:tab w:val="left" w:pos="2127" w:leader="none"/>
        </w:tabs>
        <w:ind w:left="0" w:hanging="0"/>
        <w:rPr>
          <w:sz w:val="24"/>
          <w:szCs w:val="24"/>
        </w:rPr>
      </w:pPr>
      <w:r>
        <w:rPr>
          <w:sz w:val="24"/>
          <w:szCs w:val="24"/>
        </w:rPr>
        <w:t>INFORMĀCIJA PAR PRETENDENTU</w:t>
      </w:r>
    </w:p>
    <w:p>
      <w:pPr>
        <w:pStyle w:val="Pamatteksts"/>
        <w:spacing w:before="0" w:after="0"/>
        <w:ind w:left="709" w:firstLine="11"/>
        <w:jc w:val="both"/>
        <w:rPr>
          <w:rFonts w:ascii="Times New Roman" w:hAnsi="Times New Roman" w:cs="Times New Roman"/>
          <w:kern w:val="2"/>
          <w:sz w:val="24"/>
          <w:szCs w:val="24"/>
        </w:rPr>
      </w:pPr>
      <w:r>
        <w:rPr>
          <w:rFonts w:cs="Times New Roman" w:ascii="Times New Roman" w:hAnsi="Times New Roman"/>
          <w:kern w:val="2"/>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t>3.1.     Piegādātājs un pretendents</w:t>
      </w:r>
    </w:p>
    <w:p>
      <w:pPr>
        <w:pStyle w:val="ListParagraph"/>
        <w:numPr>
          <w:ilvl w:val="2"/>
          <w:numId w:val="11"/>
        </w:numPr>
        <w:ind w:left="709" w:hanging="709"/>
        <w:jc w:val="both"/>
        <w:rPr>
          <w:rFonts w:ascii="Times New Roman" w:hAnsi="Times New Roman"/>
          <w:szCs w:val="24"/>
        </w:rPr>
      </w:pPr>
      <w:r>
        <w:rPr>
          <w:rFonts w:ascii="Times New Roman" w:hAnsi="Times New Roman"/>
          <w:szCs w:val="24"/>
        </w:rPr>
        <w:t>Piedāvājumu var iesniegt šādi piegādātāji, kas piedāvā tirgū sniegt pakalpojumus:</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fiziska persona;</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juridiska persona;</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fizisko un/vai juridisko personu apvienība jebkurā to kombinācijā - personālsabiedrība (pilnsabiedrība vai komandītsabiedrība), kurai nav juridiskās personas statusa vai piegādātāju apvienība.</w:t>
      </w:r>
    </w:p>
    <w:p>
      <w:pPr>
        <w:pStyle w:val="ListParagraph"/>
        <w:numPr>
          <w:ilvl w:val="2"/>
          <w:numId w:val="11"/>
        </w:numPr>
        <w:ind w:left="709" w:hanging="709"/>
        <w:jc w:val="both"/>
        <w:rPr>
          <w:rFonts w:ascii="Times New Roman" w:hAnsi="Times New Roman"/>
          <w:szCs w:val="24"/>
        </w:rPr>
      </w:pPr>
      <w:r>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pPr>
        <w:pStyle w:val="ListParagraph"/>
        <w:numPr>
          <w:ilvl w:val="2"/>
          <w:numId w:val="11"/>
        </w:numPr>
        <w:ind w:left="709" w:hanging="709"/>
        <w:jc w:val="both"/>
        <w:rPr>
          <w:rFonts w:ascii="Times New Roman" w:hAnsi="Times New Roman"/>
          <w:szCs w:val="24"/>
        </w:rPr>
      </w:pPr>
      <w:r>
        <w:rPr>
          <w:rFonts w:ascii="Times New Roman" w:hAnsi="Times New Roman"/>
          <w:szCs w:val="24"/>
        </w:rPr>
        <w:t>Piegādātājam, iesniedzot piedāvājumu iepirkumā, tas iegūst pretendenta statusu.</w:t>
      </w:r>
    </w:p>
    <w:p>
      <w:pPr>
        <w:pStyle w:val="ListParagraph"/>
        <w:ind w:left="709" w:hanging="0"/>
        <w:jc w:val="both"/>
        <w:rPr>
          <w:rFonts w:ascii="Times New Roman" w:hAnsi="Times New Roman"/>
          <w:szCs w:val="24"/>
        </w:rPr>
      </w:pPr>
      <w:r>
        <w:rPr>
          <w:rFonts w:ascii="Times New Roman" w:hAnsi="Times New Roman"/>
          <w:szCs w:val="24"/>
        </w:rPr>
      </w:r>
    </w:p>
    <w:p>
      <w:pPr>
        <w:pStyle w:val="ListParagraph"/>
        <w:numPr>
          <w:ilvl w:val="1"/>
          <w:numId w:val="11"/>
        </w:numPr>
        <w:ind w:left="709" w:hanging="709"/>
        <w:jc w:val="both"/>
        <w:rPr>
          <w:rFonts w:ascii="Times New Roman" w:hAnsi="Times New Roman"/>
          <w:szCs w:val="24"/>
        </w:rPr>
      </w:pPr>
      <w:r>
        <w:rPr>
          <w:rFonts w:ascii="Times New Roman" w:hAnsi="Times New Roman"/>
          <w:b/>
          <w:szCs w:val="24"/>
        </w:rPr>
        <w:t>Piegādātāju apvienība</w:t>
      </w:r>
    </w:p>
    <w:p>
      <w:pPr>
        <w:pStyle w:val="ListParagraph"/>
        <w:numPr>
          <w:ilvl w:val="2"/>
          <w:numId w:val="11"/>
        </w:numPr>
        <w:tabs>
          <w:tab w:val="clear" w:pos="567"/>
          <w:tab w:val="left" w:pos="709" w:leader="none"/>
        </w:tabs>
        <w:ind w:left="709" w:hanging="709"/>
        <w:jc w:val="both"/>
        <w:rPr>
          <w:rFonts w:ascii="Times New Roman" w:hAnsi="Times New Roman"/>
          <w:szCs w:val="24"/>
        </w:rPr>
      </w:pPr>
      <w:r>
        <w:rPr>
          <w:rFonts w:ascii="Times New Roman" w:hAnsi="Times New Roman"/>
          <w:szCs w:val="24"/>
        </w:rPr>
        <w:t>Piegādātāji ir tiesīgi apvienoties piegādātāju apvienībā un, neorganizējoties noteiktā juridiskā statusā, kā pretendents iesniegt piedāvājumu iepirkumā.</w:t>
      </w:r>
    </w:p>
    <w:p>
      <w:pPr>
        <w:pStyle w:val="ListParagraph"/>
        <w:numPr>
          <w:ilvl w:val="2"/>
          <w:numId w:val="11"/>
        </w:numPr>
        <w:tabs>
          <w:tab w:val="clear" w:pos="567"/>
          <w:tab w:val="left" w:pos="709" w:leader="none"/>
        </w:tabs>
        <w:ind w:left="709" w:hanging="709"/>
        <w:jc w:val="both"/>
        <w:rPr>
          <w:rFonts w:ascii="Times New Roman" w:hAnsi="Times New Roman"/>
          <w:szCs w:val="24"/>
        </w:rPr>
      </w:pPr>
      <w:r>
        <w:rPr>
          <w:rFonts w:ascii="Times New Roman" w:hAnsi="Times New Roman"/>
          <w:szCs w:val="24"/>
        </w:rPr>
        <w:t>Ja piedāvājumu iesniedz pretendents -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pPr>
        <w:pStyle w:val="ListParagraph"/>
        <w:numPr>
          <w:ilvl w:val="2"/>
          <w:numId w:val="11"/>
        </w:numPr>
        <w:tabs>
          <w:tab w:val="clear" w:pos="567"/>
          <w:tab w:val="left" w:pos="709" w:leader="none"/>
        </w:tabs>
        <w:ind w:left="709" w:hanging="709"/>
        <w:jc w:val="both"/>
        <w:rPr>
          <w:rFonts w:ascii="Times New Roman" w:hAnsi="Times New Roman"/>
          <w:szCs w:val="24"/>
        </w:rPr>
      </w:pPr>
      <w:r>
        <w:rPr>
          <w:rFonts w:ascii="Times New Roman" w:hAnsi="Times New Roman"/>
          <w:szCs w:val="24"/>
        </w:rPr>
        <w:t xml:space="preserve">Piedāvājumā jāiekļauj visu piegādātāju apvienības dalībnieku parakstīta vienošanās un </w:t>
      </w:r>
      <w:r>
        <w:rPr>
          <w:rFonts w:ascii="Times New Roman" w:hAnsi="Times New Roman"/>
          <w:szCs w:val="24"/>
          <w:u w:val="single"/>
        </w:rPr>
        <w:t>vienošanās dokumentam jāsatur šādi noteikumi:</w:t>
      </w:r>
      <w:r>
        <w:rPr>
          <w:rFonts w:ascii="Times New Roman" w:hAnsi="Times New Roman"/>
          <w:b/>
          <w:szCs w:val="24"/>
          <w:u w:val="single"/>
        </w:rPr>
        <w:t xml:space="preserve"> </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 xml:space="preserve">visu piegādātāju apvienības dalībnieku vienošanās par sadarbību nākotnē iepirkuma līguma izpildē; </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dalībnieks, kurš tiek pilnvarots parakstīt piedāvājumu un pārstāvēt piegādātāju apvienību iepirkumā, kā arī parakstīt iepirkuma līgumu;</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iepirkuma līguma izpildei nepieciešamo resursu sadalījums</w:t>
      </w:r>
      <w:r>
        <w:rPr>
          <w:rFonts w:ascii="Times New Roman" w:hAnsi="Times New Roman"/>
          <w:bCs/>
          <w:szCs w:val="24"/>
        </w:rPr>
        <w:t xml:space="preserve">; </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iepirkuma līguma ietvaros veicamo darbu sadalījums;</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pPr>
        <w:pStyle w:val="ListParagraph"/>
        <w:ind w:left="1560" w:hanging="0"/>
        <w:jc w:val="both"/>
        <w:rPr>
          <w:rFonts w:ascii="Times New Roman" w:hAnsi="Times New Roman"/>
          <w:szCs w:val="24"/>
        </w:rPr>
      </w:pPr>
      <w:r>
        <w:rPr>
          <w:rFonts w:ascii="Times New Roman" w:hAnsi="Times New Roman"/>
          <w:szCs w:val="24"/>
        </w:rPr>
      </w:r>
    </w:p>
    <w:p>
      <w:pPr>
        <w:pStyle w:val="ListParagraph"/>
        <w:numPr>
          <w:ilvl w:val="1"/>
          <w:numId w:val="11"/>
        </w:numPr>
        <w:ind w:left="709" w:hanging="709"/>
        <w:jc w:val="both"/>
        <w:rPr>
          <w:rFonts w:ascii="Times New Roman" w:hAnsi="Times New Roman"/>
          <w:szCs w:val="24"/>
        </w:rPr>
      </w:pPr>
      <w:r>
        <w:rPr>
          <w:rFonts w:ascii="Times New Roman" w:hAnsi="Times New Roman"/>
          <w:b/>
          <w:szCs w:val="24"/>
        </w:rPr>
        <w:t>Persona, uz kura iespējām pretendents balstās</w:t>
      </w:r>
    </w:p>
    <w:p>
      <w:pPr>
        <w:pStyle w:val="ListParagraph"/>
        <w:numPr>
          <w:ilvl w:val="2"/>
          <w:numId w:val="11"/>
        </w:numPr>
        <w:ind w:left="709" w:hanging="709"/>
        <w:jc w:val="both"/>
        <w:rPr>
          <w:rFonts w:ascii="Times New Roman" w:hAnsi="Times New Roman"/>
          <w:szCs w:val="24"/>
        </w:rPr>
      </w:pPr>
      <w:r>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pPr>
        <w:pStyle w:val="ListParagraph"/>
        <w:numPr>
          <w:ilvl w:val="2"/>
          <w:numId w:val="11"/>
        </w:numPr>
        <w:ind w:left="709" w:hanging="709"/>
        <w:jc w:val="both"/>
        <w:rPr>
          <w:rFonts w:ascii="Times New Roman" w:hAnsi="Times New Roman"/>
          <w:szCs w:val="24"/>
        </w:rPr>
      </w:pPr>
      <w:r>
        <w:rPr>
          <w:rFonts w:ascii="Times New Roman" w:hAnsi="Times New Roman"/>
        </w:rPr>
        <w:t xml:space="preserve">Ja piedāvājumu iesniedz pretendents, kurš balstās uz citas personas iespējām, tad </w:t>
      </w:r>
      <w:r>
        <w:rPr>
          <w:rFonts w:ascii="Times New Roman" w:hAnsi="Times New Roman"/>
          <w:szCs w:val="24"/>
        </w:rPr>
        <w:t>Pretendenta pieteikumā dalībai iepirkumā</w:t>
      </w:r>
      <w:r>
        <w:rPr>
          <w:rFonts w:ascii="Times New Roman" w:hAnsi="Times New Roman"/>
        </w:rPr>
        <w:t xml:space="preserve"> (nolikuma 1. pielikums “</w:t>
      </w:r>
      <w:r>
        <w:rPr>
          <w:rFonts w:ascii="Times New Roman" w:hAnsi="Times New Roman"/>
          <w:szCs w:val="24"/>
        </w:rPr>
        <w:t>Pretendenta pieteikums dalībai iepirkumā</w:t>
      </w:r>
      <w:r>
        <w:rPr>
          <w:rFonts w:ascii="Times New Roman" w:hAnsi="Times New Roman"/>
        </w:rPr>
        <w:t xml:space="preserve">”) pretendentam jāuzrāda visas personas, uz kuru iespējām iepirkuma līguma izpildē pretendents balstās, un jāsniedz </w:t>
      </w:r>
      <w:r>
        <w:rPr>
          <w:rFonts w:ascii="Times New Roman" w:hAnsi="Times New Roman"/>
          <w:szCs w:val="24"/>
        </w:rPr>
        <w:t>Pretendenta pieteikumā dalībai iepirkumā</w:t>
      </w:r>
      <w:r>
        <w:rPr>
          <w:rFonts w:ascii="Times New Roman" w:hAnsi="Times New Roman"/>
        </w:rPr>
        <w:t xml:space="preserve"> pieprasītā informācija.</w:t>
      </w:r>
    </w:p>
    <w:p>
      <w:pPr>
        <w:pStyle w:val="ListParagraph"/>
        <w:numPr>
          <w:ilvl w:val="2"/>
          <w:numId w:val="11"/>
        </w:numPr>
        <w:ind w:left="709" w:hanging="709"/>
        <w:jc w:val="both"/>
        <w:rPr>
          <w:rFonts w:ascii="Times New Roman" w:hAnsi="Times New Roman"/>
          <w:szCs w:val="24"/>
        </w:rPr>
      </w:pPr>
      <w:r>
        <w:rPr>
          <w:rFonts w:ascii="Times New Roman" w:hAnsi="Times New Roman"/>
        </w:rPr>
        <w:t xml:space="preserve">Piedāvājumā jāiekļauj pretendenta un katras personas, uz kuras iespējām pretendents balstās, parakstīta vienošanās. </w:t>
      </w:r>
      <w:r>
        <w:rPr>
          <w:rFonts w:ascii="Times New Roman" w:hAnsi="Times New Roman"/>
          <w:u w:val="single"/>
        </w:rPr>
        <w:t>Vienošanās dokumentam jāsatur šādi noteikumi:</w:t>
      </w:r>
    </w:p>
    <w:p>
      <w:pPr>
        <w:pStyle w:val="ListParagraph"/>
        <w:numPr>
          <w:ilvl w:val="3"/>
          <w:numId w:val="11"/>
        </w:numPr>
        <w:ind w:left="1560" w:hanging="851"/>
        <w:jc w:val="both"/>
        <w:rPr>
          <w:rFonts w:ascii="Times New Roman" w:hAnsi="Times New Roman"/>
          <w:szCs w:val="24"/>
        </w:rPr>
      </w:pPr>
      <w:r>
        <w:rPr>
          <w:rFonts w:ascii="Times New Roman" w:hAnsi="Times New Roman"/>
        </w:rPr>
        <w:t xml:space="preserve">pretendenta un personas, uz kuras iespējām pretendents balstās, vienošanās par sadarbību nākotnē iepirkuma līguma izpildē; </w:t>
      </w:r>
    </w:p>
    <w:p>
      <w:pPr>
        <w:pStyle w:val="ListParagraph"/>
        <w:numPr>
          <w:ilvl w:val="3"/>
          <w:numId w:val="11"/>
        </w:numPr>
        <w:ind w:left="1560" w:hanging="851"/>
        <w:jc w:val="both"/>
        <w:rPr>
          <w:rFonts w:ascii="Times New Roman" w:hAnsi="Times New Roman"/>
          <w:szCs w:val="24"/>
        </w:rPr>
      </w:pPr>
      <w:r>
        <w:rPr>
          <w:rFonts w:ascii="Times New Roman" w:hAnsi="Times New Roman"/>
        </w:rPr>
        <w:t>iepirkuma līguma izpildei nepieciešamie resursi, kas tiks nodoti pretendentam, lai tas varētu kvalificēties paziņojumā par plānoto līgumu vai iepirkuma dokumentos noteiktajām prasībām;</w:t>
      </w:r>
    </w:p>
    <w:p>
      <w:pPr>
        <w:pStyle w:val="ListParagraph"/>
        <w:numPr>
          <w:ilvl w:val="3"/>
          <w:numId w:val="11"/>
        </w:numPr>
        <w:ind w:left="1560" w:hanging="851"/>
        <w:jc w:val="both"/>
        <w:rPr>
          <w:rFonts w:ascii="Times New Roman" w:hAnsi="Times New Roman"/>
          <w:szCs w:val="24"/>
        </w:rPr>
      </w:pPr>
      <w:r>
        <w:rPr>
          <w:rFonts w:ascii="Times New Roman" w:hAnsi="Times New Roman"/>
        </w:rPr>
        <w:t>iepirkuma līguma ietvaros veicamo darbu sadalījums, ja persona veiks darbus;</w:t>
      </w:r>
    </w:p>
    <w:p>
      <w:pPr>
        <w:pStyle w:val="ListParagraph"/>
        <w:numPr>
          <w:ilvl w:val="3"/>
          <w:numId w:val="11"/>
        </w:numPr>
        <w:ind w:left="1560" w:hanging="851"/>
        <w:jc w:val="both"/>
        <w:rPr>
          <w:rFonts w:ascii="Times New Roman" w:hAnsi="Times New Roman"/>
          <w:szCs w:val="24"/>
        </w:rPr>
      </w:pPr>
      <w:r>
        <w:rPr>
          <w:rFonts w:ascii="Times New Roman" w:hAnsi="Times New Roman"/>
          <w:szCs w:val="24"/>
        </w:rPr>
        <w:t>vienošanās, ka, ja tiks pieņemts lēmums pretendentam piešķirt iepirkuma līguma slēgšanas tiesības, pretendents un persona, uz kuras tehniskajām un profesionālajām spējām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p>
    <w:p>
      <w:pPr>
        <w:pStyle w:val="Naisf"/>
        <w:spacing w:before="0" w:after="0"/>
        <w:ind w:hanging="0"/>
        <w:rPr/>
      </w:pPr>
      <w:r>
        <w:rPr/>
      </w:r>
    </w:p>
    <w:p>
      <w:pPr>
        <w:pStyle w:val="Normal"/>
        <w:numPr>
          <w:ilvl w:val="0"/>
          <w:numId w:val="2"/>
        </w:numPr>
        <w:tabs>
          <w:tab w:val="left" w:pos="284" w:leader="none"/>
          <w:tab w:val="left" w:pos="567" w:leader="none"/>
        </w:tabs>
        <w:ind w:left="0" w:hanging="0"/>
        <w:jc w:val="center"/>
        <w:rPr>
          <w:rFonts w:ascii="Times New Roman" w:hAnsi="Times New Roman" w:cs="Times New Roman"/>
          <w:sz w:val="24"/>
          <w:szCs w:val="24"/>
        </w:rPr>
      </w:pPr>
      <w:r>
        <w:rPr>
          <w:rFonts w:cs="Times New Roman" w:ascii="Times New Roman" w:hAnsi="Times New Roman"/>
          <w:b/>
          <w:sz w:val="24"/>
          <w:szCs w:val="24"/>
        </w:rPr>
        <w:t>INFORMĀCIJAS APMAIŅA UN IEPIRKUMA DOKUMENTU PIEEJAMĪBA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aisf"/>
        <w:spacing w:before="0" w:after="0"/>
        <w:ind w:hanging="0"/>
        <w:rPr>
          <w:b/>
          <w:b/>
        </w:rPr>
      </w:pPr>
      <w:r>
        <w:rPr>
          <w:b/>
        </w:rPr>
        <w:t>4.1.     Informācijas apmaiņa</w:t>
      </w:r>
    </w:p>
    <w:p>
      <w:pPr>
        <w:pStyle w:val="Naisf"/>
        <w:numPr>
          <w:ilvl w:val="2"/>
          <w:numId w:val="18"/>
        </w:numPr>
        <w:spacing w:before="0" w:after="0"/>
        <w:rPr/>
      </w:pPr>
      <w:r>
        <w:rPr/>
        <w:t xml:space="preserve">Piegādātājs iesniegumu par papildu informācijas sniegšanu adresē Komisijai, </w:t>
      </w:r>
      <w:r>
        <w:rPr>
          <w:kern w:val="2"/>
        </w:rPr>
        <w:t>izvēloties vienu no iesniegšanas veidiem: pa pastu (Rīgas iela 16, Limbaži, LV-4001); personīgi (</w:t>
      </w:r>
      <w:r>
        <w:rPr/>
        <w:t>Limbažu novada pašvaldības Centrālās pārvaldes Administratīvās nodaļas Limbažu klientu apkalpošanas centrā, Rīgas ielā 16, Limbažos, Limbažu novadā</w:t>
      </w:r>
      <w:r>
        <w:rPr>
          <w:kern w:val="2"/>
        </w:rPr>
        <w:t>); elektroniski uz e-pastu, ievietojot jautājumus Elektronisko iepirkumu sistēmā,  izmantojot drošu elektronisko parakstu vai pievienojot elektroniskajam pastam skenētu dokumentu.</w:t>
      </w:r>
    </w:p>
    <w:p>
      <w:pPr>
        <w:pStyle w:val="Naisf"/>
        <w:numPr>
          <w:ilvl w:val="2"/>
          <w:numId w:val="18"/>
        </w:numPr>
        <w:spacing w:before="0" w:after="0"/>
        <w:rPr/>
      </w:pPr>
      <w:r>
        <w:rPr>
          <w:u w:val="single"/>
        </w:rPr>
        <w:t>Komisija izskata un sniedz atbildi uz piegādātāja jautājumiem, ja tie iesniegti nolikuma 4.1.1. apakšpunktā minētajā kārtībā</w:t>
      </w:r>
      <w:r>
        <w:rPr/>
        <w:t xml:space="preserve">. </w:t>
      </w:r>
    </w:p>
    <w:p>
      <w:pPr>
        <w:pStyle w:val="Naisf"/>
        <w:numPr>
          <w:ilvl w:val="2"/>
          <w:numId w:val="18"/>
        </w:numPr>
        <w:spacing w:before="0" w:after="0"/>
        <w:rPr/>
      </w:pPr>
      <w:r>
        <w:rPr/>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Pr>
          <w:kern w:val="2"/>
        </w:rPr>
        <w:t xml:space="preserve">izmantojot drošu elektronisko parakstu vai pievienojot elektroniskajam pastam skenētu dokumentu </w:t>
      </w:r>
      <w:r>
        <w:rPr>
          <w:i/>
          <w:kern w:val="2"/>
        </w:rPr>
        <w:t>(var tikt izmantots cits nosūtīšanas veids, ja Komisijai nav zināma piegādātāja elektroniskā pasta adrese)</w:t>
      </w:r>
      <w:r>
        <w:rPr/>
        <w:t xml:space="preserve">. </w:t>
      </w:r>
    </w:p>
    <w:p>
      <w:pPr>
        <w:pStyle w:val="Naisf"/>
        <w:spacing w:before="0" w:after="0"/>
        <w:ind w:left="720" w:hanging="0"/>
        <w:rPr/>
      </w:pPr>
      <w:r>
        <w:rPr/>
      </w:r>
    </w:p>
    <w:p>
      <w:pPr>
        <w:pStyle w:val="Naisf"/>
        <w:numPr>
          <w:ilvl w:val="1"/>
          <w:numId w:val="19"/>
        </w:numPr>
        <w:tabs>
          <w:tab w:val="clear" w:pos="567"/>
          <w:tab w:val="left" w:pos="709" w:leader="none"/>
        </w:tabs>
        <w:spacing w:before="0" w:after="0"/>
        <w:rPr>
          <w:b/>
          <w:b/>
        </w:rPr>
      </w:pPr>
      <w:r>
        <w:rPr>
          <w:b/>
        </w:rPr>
        <w:t>Iepirkuma dokumentu pieejamība</w:t>
      </w:r>
    </w:p>
    <w:p>
      <w:pPr>
        <w:pStyle w:val="Naisf"/>
        <w:numPr>
          <w:ilvl w:val="2"/>
          <w:numId w:val="19"/>
        </w:numPr>
        <w:spacing w:before="0" w:after="0"/>
        <w:rPr/>
      </w:pPr>
      <w:r>
        <w:rPr/>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pPr>
        <w:pStyle w:val="Naisf"/>
        <w:numPr>
          <w:ilvl w:val="2"/>
          <w:numId w:val="19"/>
        </w:numPr>
        <w:spacing w:before="0" w:after="0"/>
        <w:rPr/>
      </w:pPr>
      <w:r>
        <w:rPr/>
        <w:t>Ja ieinteresētais piegādātājs pieprasa izsniegt iepirkuma dokumentus drukātā veidā, tie izsniedzami, ievērojot Publisko iepirkumu likuma 36. panta pirmajā daļā noteikto.</w:t>
      </w:r>
    </w:p>
    <w:p>
      <w:pPr>
        <w:pStyle w:val="Naisf"/>
        <w:numPr>
          <w:ilvl w:val="2"/>
          <w:numId w:val="19"/>
        </w:numPr>
        <w:spacing w:before="0" w:after="0"/>
        <w:rPr/>
      </w:pPr>
      <w:r>
        <w:rPr/>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w:t>
      </w:r>
    </w:p>
    <w:p>
      <w:pPr>
        <w:pStyle w:val="Normal"/>
        <w:jc w:val="both"/>
        <w:rPr>
          <w:rFonts w:ascii="Times New Roman" w:hAnsi="Times New Roman" w:cs="Times New Roman"/>
          <w:b/>
          <w:b/>
          <w:sz w:val="24"/>
          <w:szCs w:val="24"/>
        </w:rPr>
      </w:pPr>
      <w:r>
        <w:rPr>
          <w:rFonts w:cs="Times New Roman" w:ascii="Times New Roman" w:hAnsi="Times New Roman"/>
          <w:b/>
          <w:sz w:val="24"/>
          <w:szCs w:val="24"/>
        </w:rPr>
      </w:r>
      <w:bookmarkStart w:id="3" w:name="_1.5.4._Piedāvājumu_atvēršanas"/>
      <w:bookmarkStart w:id="4" w:name="_1.5.4._Piedāvājumu_atvēršanas"/>
      <w:bookmarkEnd w:id="4"/>
    </w:p>
    <w:p>
      <w:pPr>
        <w:pStyle w:val="Virsraksts2"/>
        <w:numPr>
          <w:ilvl w:val="0"/>
          <w:numId w:val="2"/>
        </w:numPr>
        <w:tabs>
          <w:tab w:val="clear" w:pos="567"/>
          <w:tab w:val="left" w:pos="426" w:leader="none"/>
        </w:tabs>
        <w:ind w:left="0" w:hanging="0"/>
        <w:jc w:val="center"/>
        <w:rPr>
          <w:sz w:val="24"/>
          <w:szCs w:val="24"/>
        </w:rPr>
      </w:pPr>
      <w:bookmarkStart w:id="5" w:name="_1.7._Prasības_attiecībā"/>
      <w:bookmarkEnd w:id="5"/>
      <w:r>
        <w:rPr>
          <w:sz w:val="24"/>
          <w:szCs w:val="24"/>
        </w:rPr>
        <w:t>PRASĪBAS ATTIECĪBĀ UZ PIEDĀVĀJUMA NOFORMĒŠANU UN DOKUMENTIEM</w:t>
      </w:r>
    </w:p>
    <w:p>
      <w:pPr>
        <w:pStyle w:val="Virsraksts3"/>
        <w:numPr>
          <w:ilvl w:val="0"/>
          <w:numId w:val="0"/>
        </w:numPr>
        <w:ind w:left="0" w:firstLine="709"/>
        <w:jc w:val="both"/>
        <w:rPr>
          <w:sz w:val="24"/>
          <w:szCs w:val="24"/>
        </w:rPr>
      </w:pPr>
      <w:r>
        <w:rPr>
          <w:sz w:val="24"/>
          <w:szCs w:val="24"/>
        </w:rPr>
      </w:r>
    </w:p>
    <w:p>
      <w:pPr>
        <w:pStyle w:val="ListParagraph"/>
        <w:numPr>
          <w:ilvl w:val="1"/>
          <w:numId w:val="20"/>
        </w:numPr>
        <w:jc w:val="both"/>
        <w:rPr>
          <w:rFonts w:ascii="Times New Roman" w:hAnsi="Times New Roman"/>
          <w:szCs w:val="24"/>
        </w:rPr>
      </w:pPr>
      <w:r>
        <w:rPr>
          <w:rFonts w:ascii="Times New Roman" w:hAnsi="Times New Roman"/>
          <w:szCs w:val="24"/>
        </w:rPr>
        <w:t xml:space="preserve">Piedāvājums iesniedzams </w:t>
      </w:r>
      <w:r>
        <w:rPr>
          <w:rFonts w:ascii="Times New Roman" w:hAnsi="Times New Roman"/>
          <w:b/>
          <w:szCs w:val="24"/>
        </w:rPr>
        <w:t>elektroniski, ievietojot Elektronisko iepirkumu sistēmā</w:t>
      </w:r>
      <w:r>
        <w:rPr>
          <w:rFonts w:ascii="Times New Roman" w:hAnsi="Times New Roman"/>
          <w:szCs w:val="24"/>
        </w:rPr>
        <w:t>. Ievietojot sekojošus dokumentus:</w:t>
      </w:r>
    </w:p>
    <w:p>
      <w:pPr>
        <w:pStyle w:val="ListParagraph"/>
        <w:numPr>
          <w:ilvl w:val="2"/>
          <w:numId w:val="20"/>
        </w:numPr>
        <w:jc w:val="both"/>
        <w:rPr>
          <w:rFonts w:ascii="Times New Roman" w:hAnsi="Times New Roman"/>
          <w:szCs w:val="24"/>
        </w:rPr>
      </w:pPr>
      <w:r>
        <w:rPr>
          <w:rFonts w:ascii="Times New Roman" w:hAnsi="Times New Roman"/>
          <w:szCs w:val="24"/>
        </w:rPr>
        <w:t>Pretendenta pieteikums dalībai iepirkumā, kurā izteikta pretendenta vēlme piedalīties iepirkumā, saskaņā ar nolikuma 1. pielikumā pievienoto formu “Pretendenta pieteikums dalībai iepirkumā”;</w:t>
      </w:r>
    </w:p>
    <w:p>
      <w:pPr>
        <w:pStyle w:val="ListParagraph"/>
        <w:numPr>
          <w:ilvl w:val="2"/>
          <w:numId w:val="20"/>
        </w:numPr>
        <w:jc w:val="both"/>
        <w:rPr>
          <w:rFonts w:ascii="Times New Roman" w:hAnsi="Times New Roman"/>
          <w:szCs w:val="24"/>
        </w:rPr>
      </w:pPr>
      <w:r>
        <w:rPr>
          <w:rFonts w:ascii="Times New Roman" w:hAnsi="Times New Roman"/>
          <w:szCs w:val="24"/>
          <w:u w:val="single"/>
        </w:rPr>
        <w:t>visi pārējie šī nolikuma VI. sadaļā norādītie un piedāvājumā iekļaujamie dokumenti;</w:t>
      </w:r>
    </w:p>
    <w:p>
      <w:pPr>
        <w:pStyle w:val="ListParagraph"/>
        <w:numPr>
          <w:ilvl w:val="1"/>
          <w:numId w:val="20"/>
        </w:numPr>
        <w:jc w:val="both"/>
        <w:rPr>
          <w:rFonts w:ascii="Times New Roman" w:hAnsi="Times New Roman"/>
          <w:szCs w:val="24"/>
        </w:rPr>
      </w:pPr>
      <w:r>
        <w:rPr>
          <w:rFonts w:ascii="Times New Roman" w:hAnsi="Times New Roman"/>
          <w:szCs w:val="24"/>
        </w:rPr>
        <w:t>Piedāvājumā iekļautajiem dokumentiem jābūt skaidri salasāmiem bez labojumiem.</w:t>
      </w:r>
    </w:p>
    <w:p>
      <w:pPr>
        <w:pStyle w:val="ListParagraph"/>
        <w:numPr>
          <w:ilvl w:val="1"/>
          <w:numId w:val="20"/>
        </w:numPr>
        <w:jc w:val="both"/>
        <w:rPr>
          <w:rFonts w:ascii="Times New Roman" w:hAnsi="Times New Roman"/>
          <w:szCs w:val="24"/>
        </w:rPr>
      </w:pPr>
      <w:r>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pPr>
        <w:pStyle w:val="ListParagraph"/>
        <w:numPr>
          <w:ilvl w:val="2"/>
          <w:numId w:val="20"/>
        </w:numPr>
        <w:jc w:val="both"/>
        <w:rPr>
          <w:rFonts w:ascii="Times New Roman" w:hAnsi="Times New Roman"/>
          <w:szCs w:val="24"/>
        </w:rPr>
      </w:pPr>
      <w:r>
        <w:rPr>
          <w:rFonts w:ascii="Times New Roman" w:hAnsi="Times New Roman"/>
          <w:szCs w:val="24"/>
        </w:rPr>
        <w:t>Elektroniski parakstot visu dokumentu kopumu (izmantojot E-parakstu vai Elektronisko iepirkumu sistēmas uzturēto sistēmas parakstu);</w:t>
      </w:r>
    </w:p>
    <w:p>
      <w:pPr>
        <w:pStyle w:val="ListParagraph"/>
        <w:numPr>
          <w:ilvl w:val="2"/>
          <w:numId w:val="20"/>
        </w:numPr>
        <w:jc w:val="both"/>
        <w:rPr>
          <w:rFonts w:ascii="Times New Roman" w:hAnsi="Times New Roman"/>
          <w:szCs w:val="24"/>
        </w:rPr>
      </w:pPr>
      <w:r>
        <w:rPr>
          <w:rFonts w:ascii="Times New Roman" w:hAnsi="Times New Roman"/>
          <w:szCs w:val="24"/>
        </w:rPr>
        <w:t>Drukātā formā parakstot, katru dokumentu un pēc tam ieskenējot, gadījumā, ja dokumentu parakstīšanai netiek izmantota kāda no elektroniskā paraksta formām;</w:t>
      </w:r>
    </w:p>
    <w:p>
      <w:pPr>
        <w:pStyle w:val="ListParagraph"/>
        <w:numPr>
          <w:ilvl w:val="1"/>
          <w:numId w:val="20"/>
        </w:numPr>
        <w:jc w:val="both"/>
        <w:rPr>
          <w:rFonts w:ascii="Times New Roman" w:hAnsi="Times New Roman"/>
          <w:szCs w:val="24"/>
        </w:rPr>
      </w:pPr>
      <w:r>
        <w:rPr>
          <w:rFonts w:ascii="Times New Roman" w:hAnsi="Times New Roman"/>
          <w:szCs w:val="24"/>
        </w:rPr>
        <w:t xml:space="preserve">Pretendentam piedāvājums ir jāiesniedz latviešu valodā. </w:t>
      </w:r>
    </w:p>
    <w:p>
      <w:pPr>
        <w:pStyle w:val="ListParagraph"/>
        <w:numPr>
          <w:ilvl w:val="2"/>
          <w:numId w:val="20"/>
        </w:numPr>
        <w:jc w:val="both"/>
        <w:rPr>
          <w:rFonts w:ascii="Times New Roman" w:hAnsi="Times New Roman"/>
          <w:szCs w:val="24"/>
        </w:rPr>
      </w:pPr>
      <w:r>
        <w:rPr>
          <w:rFonts w:ascii="Times New Roman" w:hAnsi="Times New Roman"/>
          <w:szCs w:val="24"/>
        </w:rPr>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pPr>
        <w:pStyle w:val="Pamatteksts"/>
        <w:spacing w:before="0" w:after="0"/>
        <w:ind w:left="709" w:hanging="0"/>
        <w:jc w:val="both"/>
        <w:rPr>
          <w:rFonts w:ascii="Times New Roman" w:hAnsi="Times New Roman" w:cs="Times New Roman"/>
          <w:i/>
          <w:i/>
          <w:sz w:val="24"/>
          <w:szCs w:val="24"/>
        </w:rPr>
      </w:pPr>
      <w:r>
        <w:rPr>
          <w:rFonts w:cs="Times New Roman" w:ascii="Times New Roman" w:hAnsi="Times New Roman"/>
          <w:i/>
          <w:sz w:val="24"/>
          <w:szCs w:val="24"/>
        </w:rPr>
        <w:t>Dokumenta tulkojuma pareizība pretendentam jāapliecina šādā kārtībā:</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Dokumenta tulkojuma pēdējā lapā aiz teksta noformē apliecinājuma uzrakstu latviešu valodā.</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Apliecinājuma uzrakstā ietver:</w:t>
      </w:r>
    </w:p>
    <w:p>
      <w:pPr>
        <w:pStyle w:val="Normal"/>
        <w:ind w:firstLine="709"/>
        <w:jc w:val="both"/>
        <w:rPr>
          <w:rFonts w:ascii="Times New Roman" w:hAnsi="Times New Roman" w:cs="Times New Roman"/>
          <w:i/>
          <w:i/>
          <w:sz w:val="24"/>
          <w:szCs w:val="24"/>
        </w:rPr>
      </w:pPr>
      <w:r>
        <w:rPr>
          <w:rFonts w:cs="Times New Roman" w:ascii="Times New Roman" w:hAnsi="Times New Roman"/>
          <w:i/>
          <w:sz w:val="24"/>
          <w:szCs w:val="24"/>
        </w:rPr>
        <w:t>ar lielajiem burtiem rakstītus atbilstošus vārdus “TULKOJUMS PAREIZS”;</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dokumenta tulkojuma pareizības apliecinātājas amatpersonas pilnu amata nosaukumu (ietverot arī pilnu pretendenta nosaukumu), personisko parakstu un tā atšifrējumu;</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apliecinājuma vietas nosaukumu;</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apliecinājuma datumu.</w:t>
      </w:r>
    </w:p>
    <w:p>
      <w:pPr>
        <w:pStyle w:val="ListParagraph"/>
        <w:numPr>
          <w:ilvl w:val="2"/>
          <w:numId w:val="20"/>
        </w:numPr>
        <w:jc w:val="both"/>
        <w:rPr>
          <w:rFonts w:ascii="Times New Roman" w:hAnsi="Times New Roman"/>
          <w:szCs w:val="24"/>
        </w:rPr>
      </w:pPr>
      <w:r>
        <w:rPr>
          <w:rFonts w:ascii="Times New Roman" w:hAnsi="Times New Roman"/>
          <w:szCs w:val="24"/>
        </w:rPr>
        <w:t>Dokumenta kopiju izstrādā, nokopējot vai citādā tehniskā veidā iegūstot oriģināla faksimilattēlu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Ja pretendents iesniedz dokumentu kopijas, katra dokumenta kopija pretendentam jāapliecina šādā kārtībā:</w:t>
      </w:r>
    </w:p>
    <w:p>
      <w:pPr>
        <w:pStyle w:val="Normal"/>
        <w:ind w:firstLine="709"/>
        <w:jc w:val="both"/>
        <w:rPr>
          <w:rFonts w:ascii="Times New Roman" w:hAnsi="Times New Roman" w:cs="Times New Roman"/>
          <w:i/>
          <w:i/>
          <w:sz w:val="24"/>
          <w:szCs w:val="24"/>
        </w:rPr>
      </w:pPr>
      <w:r>
        <w:rPr>
          <w:rFonts w:cs="Times New Roman" w:ascii="Times New Roman" w:hAnsi="Times New Roman"/>
          <w:i/>
          <w:sz w:val="24"/>
          <w:szCs w:val="24"/>
        </w:rPr>
        <w:t>Kopijas pirmās lapas augšējā labajā stūrī raksta vārdu "Kopija";</w:t>
      </w:r>
    </w:p>
    <w:p>
      <w:pPr>
        <w:pStyle w:val="Normal"/>
        <w:ind w:firstLine="709"/>
        <w:jc w:val="both"/>
        <w:rPr>
          <w:rFonts w:ascii="Times New Roman" w:hAnsi="Times New Roman" w:cs="Times New Roman"/>
          <w:i/>
          <w:i/>
          <w:sz w:val="24"/>
          <w:szCs w:val="24"/>
        </w:rPr>
      </w:pPr>
      <w:r>
        <w:rPr>
          <w:rFonts w:cs="Times New Roman" w:ascii="Times New Roman" w:hAnsi="Times New Roman"/>
          <w:i/>
          <w:sz w:val="24"/>
          <w:szCs w:val="24"/>
        </w:rPr>
        <w:t>Apliecinājuma uzrakstā ietver:</w:t>
      </w:r>
    </w:p>
    <w:p>
      <w:pPr>
        <w:pStyle w:val="Normal"/>
        <w:ind w:firstLine="709"/>
        <w:jc w:val="both"/>
        <w:rPr>
          <w:rFonts w:ascii="Times New Roman" w:hAnsi="Times New Roman" w:cs="Times New Roman"/>
          <w:i/>
          <w:i/>
          <w:sz w:val="24"/>
          <w:szCs w:val="24"/>
        </w:rPr>
      </w:pPr>
      <w:r>
        <w:rPr>
          <w:rFonts w:cs="Times New Roman" w:ascii="Times New Roman" w:hAnsi="Times New Roman"/>
          <w:i/>
          <w:sz w:val="24"/>
          <w:szCs w:val="24"/>
        </w:rPr>
        <w:t>vārdus “Kopija pareiza”;</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dokumenta atvasinājuma apliecinātājas amatpersonas pilnu amata nosaukumu (ietverot arī pilnu pretendenta nosaukumu), personisko parakstu un tā atšifrējumu;</w:t>
      </w:r>
    </w:p>
    <w:p>
      <w:pPr>
        <w:pStyle w:val="Normal"/>
        <w:ind w:left="709" w:hanging="0"/>
        <w:jc w:val="both"/>
        <w:rPr>
          <w:rFonts w:ascii="Times New Roman" w:hAnsi="Times New Roman" w:cs="Times New Roman"/>
          <w:i/>
          <w:i/>
          <w:sz w:val="24"/>
          <w:szCs w:val="24"/>
        </w:rPr>
      </w:pPr>
      <w:r>
        <w:rPr>
          <w:rFonts w:cs="Times New Roman" w:ascii="Times New Roman" w:hAnsi="Times New Roman"/>
          <w:i/>
          <w:sz w:val="24"/>
          <w:szCs w:val="24"/>
        </w:rPr>
        <w:t>apliecinājuma datumu.</w:t>
      </w:r>
    </w:p>
    <w:p>
      <w:pPr>
        <w:pStyle w:val="Normal"/>
        <w:ind w:firstLine="680"/>
        <w:jc w:val="both"/>
        <w:rPr>
          <w:rFonts w:ascii="Times New Roman" w:hAnsi="Times New Roman"/>
          <w:sz w:val="24"/>
          <w:szCs w:val="24"/>
          <w:u w:val="single"/>
        </w:rPr>
      </w:pPr>
      <w:r>
        <w:rPr>
          <w:rFonts w:ascii="Times New Roman" w:hAnsi="Times New Roman"/>
          <w:sz w:val="24"/>
          <w:szCs w:val="24"/>
          <w:u w:val="single"/>
        </w:rPr>
        <w:t>Iesniedzot piedāvājumu, pretendents ir tiesīgs visu iesniegto dokumentu atvasinājumu, tulkojumu pareizību apliecināt ar vienu apliecinājumu.</w:t>
      </w:r>
    </w:p>
    <w:p>
      <w:pPr>
        <w:pStyle w:val="Normal"/>
        <w:ind w:firstLine="68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1"/>
          <w:numId w:val="20"/>
        </w:numPr>
        <w:ind w:left="567" w:hanging="567"/>
        <w:jc w:val="both"/>
        <w:rPr>
          <w:rFonts w:ascii="Times New Roman" w:hAnsi="Times New Roman" w:cs="Times New Roman"/>
          <w:sz w:val="24"/>
          <w:szCs w:val="24"/>
        </w:rPr>
      </w:pPr>
      <w:r>
        <w:rPr>
          <w:rFonts w:cs="Times New Roman" w:ascii="Times New Roman" w:hAnsi="Times New Roman"/>
          <w:b/>
          <w:sz w:val="24"/>
          <w:szCs w:val="24"/>
        </w:rPr>
        <w:t>Prasības finanšu piedāvājuma sagatavošanai</w:t>
      </w:r>
    </w:p>
    <w:p>
      <w:pPr>
        <w:pStyle w:val="Normal"/>
        <w:ind w:left="567" w:hanging="567"/>
        <w:jc w:val="both"/>
        <w:rPr>
          <w:rFonts w:ascii="Times New Roman" w:hAnsi="Times New Roman"/>
          <w:sz w:val="24"/>
          <w:szCs w:val="24"/>
        </w:rPr>
      </w:pPr>
      <w:r>
        <w:rPr>
          <w:rFonts w:ascii="Times New Roman" w:hAnsi="Times New Roman"/>
          <w:sz w:val="24"/>
          <w:szCs w:val="24"/>
        </w:rPr>
        <w:t>5.3.1.</w:t>
        <w:tab/>
        <w:t>Finanšu piedāvājumu sagatavo, ņemot vērā nolikuma Tehniskajā specifikācijā (nolikuma 2. pielikums “Tehniskā specifikācija”) noteikto iepirkuma priekšmeta apjomu un raksturojumu atbilstoši finanšu piedāvājuma veidlapai (nolikuma 4. pielikums “Finanšu piedāvājuma veidlapa”).</w:t>
      </w:r>
    </w:p>
    <w:p>
      <w:pPr>
        <w:pStyle w:val="Normal"/>
        <w:jc w:val="both"/>
        <w:rPr>
          <w:rFonts w:ascii="Times New Roman" w:hAnsi="Times New Roman"/>
          <w:sz w:val="24"/>
          <w:szCs w:val="24"/>
        </w:rPr>
      </w:pPr>
      <w:r>
        <w:rPr>
          <w:rFonts w:ascii="Times New Roman" w:hAnsi="Times New Roman"/>
          <w:sz w:val="24"/>
          <w:szCs w:val="24"/>
        </w:rPr>
        <w:t>5.3.2.</w:t>
        <w:tab/>
        <w:t>Finanšu piedāvājumam jāpievieno nolikumā noteiktie dokumenti.</w:t>
      </w:r>
    </w:p>
    <w:p>
      <w:pPr>
        <w:pStyle w:val="Normal"/>
        <w:ind w:left="567" w:hanging="567"/>
        <w:jc w:val="both"/>
        <w:rPr>
          <w:rFonts w:ascii="Times New Roman" w:hAnsi="Times New Roman"/>
          <w:sz w:val="24"/>
          <w:szCs w:val="24"/>
        </w:rPr>
      </w:pPr>
      <w:r>
        <w:rPr>
          <w:rFonts w:ascii="Times New Roman" w:hAnsi="Times New Roman"/>
          <w:sz w:val="24"/>
          <w:szCs w:val="24"/>
        </w:rPr>
        <w:t>5.3.3.</w:t>
        <w:tab/>
        <w:t xml:space="preserve">Finanšu piedāvājumā piedāvātā cena jānorāda </w:t>
      </w:r>
      <w:r>
        <w:rPr>
          <w:rFonts w:ascii="Times New Roman" w:hAnsi="Times New Roman"/>
          <w:i/>
          <w:iCs/>
          <w:sz w:val="24"/>
          <w:szCs w:val="24"/>
        </w:rPr>
        <w:t>euro</w:t>
      </w:r>
      <w:r>
        <w:rPr>
          <w:rFonts w:ascii="Times New Roman" w:hAnsi="Times New Roman"/>
          <w:sz w:val="24"/>
          <w:szCs w:val="24"/>
        </w:rPr>
        <w:t xml:space="preserve"> (EUR), kur cena uzrādāma bez pievienotās vērtības nodokļa (PVN) ar precizitāti ne vairāk kā divi cipari aiz komata.</w:t>
      </w:r>
    </w:p>
    <w:p>
      <w:pPr>
        <w:pStyle w:val="Normal"/>
        <w:ind w:left="567" w:hanging="567"/>
        <w:jc w:val="both"/>
        <w:rPr>
          <w:rFonts w:ascii="Times New Roman" w:hAnsi="Times New Roman"/>
          <w:sz w:val="24"/>
          <w:szCs w:val="24"/>
        </w:rPr>
      </w:pPr>
      <w:r>
        <w:rPr>
          <w:rFonts w:ascii="Times New Roman" w:hAnsi="Times New Roman"/>
          <w:sz w:val="24"/>
          <w:szCs w:val="24"/>
        </w:rPr>
        <w:t>5.3.4.</w:t>
        <w:tab/>
        <w:t>Piedāvātajā cenā jāietver visi nodokļi, nodevas, maksājumi un visas saprātīgi paredzamās ar konkrētā iepirkuma priekšmeta izpildi saistītās izmaksas, izņemot pievienotās vērtības nodokli.</w:t>
      </w:r>
    </w:p>
    <w:p>
      <w:pPr>
        <w:pStyle w:val="Normal"/>
        <w:ind w:left="567" w:hanging="567"/>
        <w:jc w:val="both"/>
        <w:rPr>
          <w:rFonts w:ascii="Times New Roman" w:hAnsi="Times New Roman"/>
          <w:sz w:val="24"/>
          <w:szCs w:val="24"/>
        </w:rPr>
      </w:pPr>
      <w:r>
        <w:rPr>
          <w:rFonts w:ascii="Times New Roman" w:hAnsi="Times New Roman"/>
          <w:sz w:val="24"/>
          <w:szCs w:val="24"/>
        </w:rPr>
        <w:t>5.3.5.</w:t>
        <w:tab/>
        <w:t>Finanšu piedāvājumu paraksta persona, kura pārstāv pretendentu vai ir pilnvarota pārstāvēt pretendentu šajā iepirkumā savas pārstāvības vai pilnvarojuma robežās.</w:t>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1"/>
          <w:numId w:val="21"/>
        </w:numPr>
        <w:jc w:val="both"/>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Prasības tehniskā piedāvājuma sagatavošanai</w:t>
      </w:r>
      <w:r>
        <w:rPr>
          <w:rFonts w:cs="Times New Roman" w:ascii="Times New Roman" w:hAnsi="Times New Roman"/>
          <w:sz w:val="24"/>
          <w:szCs w:val="24"/>
        </w:rPr>
        <w:t xml:space="preserve"> </w:t>
      </w:r>
    </w:p>
    <w:p>
      <w:pPr>
        <w:pStyle w:val="ListParagraph"/>
        <w:numPr>
          <w:ilvl w:val="2"/>
          <w:numId w:val="21"/>
        </w:numPr>
        <w:ind w:left="709" w:hanging="709"/>
        <w:jc w:val="both"/>
        <w:rPr>
          <w:rFonts w:ascii="Times New Roman" w:hAnsi="Times New Roman"/>
          <w:szCs w:val="24"/>
        </w:rPr>
      </w:pPr>
      <w:r>
        <w:rPr>
          <w:rFonts w:ascii="Times New Roman" w:hAnsi="Times New Roman"/>
          <w:szCs w:val="24"/>
        </w:rPr>
        <w:t xml:space="preserve">Tehnisko piedāvājumu sagatavo saskaņā ar nolikuma Tehniskajā specifikācijā (nolikuma </w:t>
      </w:r>
      <w:hyperlink w:anchor="_1._pielikums">
        <w:r>
          <w:rPr>
            <w:rStyle w:val="Hipersaite1"/>
            <w:rFonts w:ascii="Times New Roman" w:hAnsi="Times New Roman"/>
            <w:color w:val="auto"/>
            <w:szCs w:val="24"/>
            <w:u w:val="none"/>
          </w:rPr>
          <w:t>2. pielikums</w:t>
        </w:r>
      </w:hyperlink>
      <w:r>
        <w:rPr>
          <w:rFonts w:ascii="Times New Roman" w:hAnsi="Times New Roman"/>
          <w:szCs w:val="24"/>
        </w:rPr>
        <w:t xml:space="preserve"> “Tehniskā specifikācija”) noteiktajām prasībām atbilstoši tehniskā piedāvājuma veidlapai (nolikuma 5. pielikums “Tehniskā piedāvājuma veidlapa”). </w:t>
      </w:r>
    </w:p>
    <w:p>
      <w:pPr>
        <w:pStyle w:val="ListParagraph"/>
        <w:numPr>
          <w:ilvl w:val="2"/>
          <w:numId w:val="21"/>
        </w:numPr>
        <w:ind w:left="709" w:hanging="709"/>
        <w:jc w:val="both"/>
        <w:rPr>
          <w:rFonts w:ascii="Times New Roman" w:hAnsi="Times New Roman"/>
          <w:szCs w:val="24"/>
        </w:rPr>
      </w:pPr>
      <w:r>
        <w:rPr>
          <w:rFonts w:ascii="Times New Roman" w:hAnsi="Times New Roman"/>
          <w:szCs w:val="24"/>
        </w:rPr>
        <w:t>Tehniskajam piedāvājumam jāpievieno nolikumā noteiktie dokumenti.</w:t>
      </w:r>
    </w:p>
    <w:p>
      <w:pPr>
        <w:pStyle w:val="ListParagraph"/>
        <w:numPr>
          <w:ilvl w:val="2"/>
          <w:numId w:val="21"/>
        </w:numPr>
        <w:ind w:left="709" w:hanging="709"/>
        <w:jc w:val="both"/>
        <w:rPr>
          <w:rFonts w:ascii="Times New Roman" w:hAnsi="Times New Roman"/>
          <w:szCs w:val="24"/>
        </w:rPr>
      </w:pPr>
      <w:r>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pPr>
        <w:pStyle w:val="ListParagraph"/>
        <w:ind w:left="709" w:hanging="0"/>
        <w:jc w:val="both"/>
        <w:rPr>
          <w:rFonts w:ascii="Times New Roman" w:hAnsi="Times New Roman"/>
          <w:szCs w:val="24"/>
        </w:rPr>
      </w:pPr>
      <w:r>
        <w:rPr>
          <w:rFonts w:ascii="Times New Roman" w:hAnsi="Times New Roman"/>
          <w:szCs w:val="24"/>
        </w:rPr>
      </w:r>
    </w:p>
    <w:p>
      <w:pPr>
        <w:pStyle w:val="Normal"/>
        <w:numPr>
          <w:ilvl w:val="1"/>
          <w:numId w:val="21"/>
        </w:numPr>
        <w:ind w:left="709" w:hanging="709"/>
        <w:jc w:val="both"/>
        <w:rPr>
          <w:rFonts w:ascii="Times New Roman" w:hAnsi="Times New Roman" w:cs="Times New Roman"/>
          <w:sz w:val="24"/>
          <w:szCs w:val="24"/>
        </w:rPr>
      </w:pPr>
      <w:r>
        <w:rPr>
          <w:rFonts w:cs="Times New Roman" w:ascii="Times New Roman" w:hAnsi="Times New Roman"/>
          <w:b/>
          <w:sz w:val="24"/>
          <w:szCs w:val="24"/>
        </w:rPr>
        <w:t>Prasības pretendenta kvalifikācijas dokumentiem</w:t>
      </w:r>
      <w:r>
        <w:rPr>
          <w:rFonts w:cs="Times New Roman" w:ascii="Times New Roman" w:hAnsi="Times New Roman"/>
          <w:sz w:val="24"/>
          <w:szCs w:val="24"/>
        </w:rPr>
        <w:t xml:space="preserve"> </w:t>
      </w:r>
    </w:p>
    <w:p>
      <w:pPr>
        <w:pStyle w:val="ListParagraph"/>
        <w:numPr>
          <w:ilvl w:val="2"/>
          <w:numId w:val="21"/>
        </w:numPr>
        <w:jc w:val="both"/>
        <w:rPr>
          <w:rFonts w:ascii="Times New Roman" w:hAnsi="Times New Roman"/>
          <w:szCs w:val="24"/>
        </w:rPr>
      </w:pPr>
      <w:r>
        <w:rPr>
          <w:rFonts w:ascii="Times New Roman" w:hAnsi="Times New Roman"/>
          <w:szCs w:val="24"/>
        </w:rPr>
        <w:t>Pretendents kvalifikācijas dokumentus sagatavo un iekļauj piedāvājumā atbilstoši nolikuma 6.1.5. punktā pievienotajā tabulā “Pretendenta un tā piedāvājuma atbilstības prasības” dotajam uzskaitījumam un nolikumā iekļautajām formām.</w:t>
      </w:r>
    </w:p>
    <w:p>
      <w:pPr>
        <w:pStyle w:val="ListParagraph"/>
        <w:numPr>
          <w:ilvl w:val="2"/>
          <w:numId w:val="21"/>
        </w:numPr>
        <w:jc w:val="both"/>
        <w:rPr>
          <w:rFonts w:ascii="Times New Roman" w:hAnsi="Times New Roman"/>
          <w:szCs w:val="24"/>
        </w:rPr>
      </w:pPr>
      <w:r>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6.1.5. punktā pievienotajā tabulā “Pretendenta un tā piedāvājuma atbilstības prasības” uzskaitītie dokumenti.</w:t>
      </w:r>
    </w:p>
    <w:p>
      <w:pPr>
        <w:pStyle w:val="ListParagraph"/>
        <w:jc w:val="both"/>
        <w:rPr>
          <w:rFonts w:ascii="Times New Roman" w:hAnsi="Times New Roman"/>
          <w:szCs w:val="24"/>
        </w:rPr>
      </w:pPr>
      <w:r>
        <w:rPr>
          <w:rFonts w:ascii="Times New Roman" w:hAnsi="Times New Roman"/>
          <w:szCs w:val="24"/>
        </w:rPr>
      </w:r>
    </w:p>
    <w:p>
      <w:pPr>
        <w:pStyle w:val="ListParagraph"/>
        <w:numPr>
          <w:ilvl w:val="1"/>
          <w:numId w:val="21"/>
        </w:numPr>
        <w:ind w:left="709" w:hanging="709"/>
        <w:jc w:val="both"/>
        <w:rPr>
          <w:rFonts w:ascii="Times New Roman" w:hAnsi="Times New Roman"/>
          <w:szCs w:val="24"/>
        </w:rPr>
      </w:pPr>
      <w:r>
        <w:rPr>
          <w:rFonts w:ascii="Times New Roman" w:hAnsi="Times New Roman"/>
          <w:b/>
          <w:szCs w:val="24"/>
        </w:rPr>
        <w:t>Kopējās prasības piedāvājumam un dokumentiem</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Par piedāvājumu nav paredzēts iesniegt piedāvājuma variantus. </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Pretendents pirms piedāvājumu iesniegšanas termiņa beigām var grozīt vai atsaukt iesniegto piedāvājumu.</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Ja Komisijai rodas šaubas par iesniegtās dokumenta kopijas autentiskumu, tā pieprasa, lai pretendents uzrāda dokumenta oriģinālu vai iesniedz apliecinātu dokumenta kopiju. </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pPr>
        <w:pStyle w:val="Normal"/>
        <w:numPr>
          <w:ilvl w:val="2"/>
          <w:numId w:val="21"/>
        </w:numPr>
        <w:ind w:left="709" w:hanging="709"/>
        <w:jc w:val="both"/>
        <w:rPr>
          <w:rFonts w:ascii="Times New Roman" w:hAnsi="Times New Roman" w:cs="Times New Roman"/>
          <w:sz w:val="24"/>
          <w:szCs w:val="24"/>
        </w:rPr>
      </w:pPr>
      <w:bookmarkStart w:id="6" w:name="_Toc196038782"/>
      <w:r>
        <w:rPr>
          <w:rFonts w:cs="Times New Roman" w:ascii="Times New Roman" w:hAnsi="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bookmarkEnd w:id="6"/>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Pretendents sedz visus izdevumus, kas ir saistīti ar piedāvājuma sagatavošanu un iesniegšanu pasūtītājam, un pasūtītājs minētos izdevumus pretendentam neatlīdzina. </w:t>
      </w:r>
    </w:p>
    <w:p>
      <w:pPr>
        <w:pStyle w:val="Normal"/>
        <w:numPr>
          <w:ilvl w:val="2"/>
          <w:numId w:val="21"/>
        </w:numPr>
        <w:ind w:left="709" w:hanging="709"/>
        <w:jc w:val="both"/>
        <w:rPr>
          <w:rFonts w:ascii="Times New Roman" w:hAnsi="Times New Roman" w:cs="Times New Roman"/>
          <w:sz w:val="24"/>
          <w:szCs w:val="24"/>
        </w:rPr>
      </w:pPr>
      <w:r>
        <w:rPr>
          <w:rFonts w:cs="Times New Roman" w:ascii="Times New Roman" w:hAnsi="Times New Roman"/>
          <w:sz w:val="24"/>
          <w:szCs w:val="24"/>
        </w:rPr>
        <w:t>Iesniegto piedāvājumu, izņemot nolikumā noteiktos gadījumus, pretendentam neatgriež.</w:t>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Virsraksts2"/>
        <w:numPr>
          <w:ilvl w:val="0"/>
          <w:numId w:val="2"/>
        </w:numPr>
        <w:jc w:val="center"/>
        <w:rPr>
          <w:sz w:val="24"/>
          <w:szCs w:val="24"/>
        </w:rPr>
      </w:pPr>
      <w:bookmarkStart w:id="7" w:name="_Toc196038785"/>
      <w:bookmarkStart w:id="8" w:name="_1.6._Piedāvājumā_iekļaujamie_dokume"/>
      <w:bookmarkEnd w:id="8"/>
      <w:r>
        <w:rPr>
          <w:sz w:val="24"/>
          <w:szCs w:val="24"/>
        </w:rPr>
        <w:t>P</w:t>
      </w:r>
      <w:bookmarkEnd w:id="7"/>
      <w:r>
        <w:rPr>
          <w:sz w:val="24"/>
          <w:szCs w:val="24"/>
        </w:rPr>
        <w:t>IEDĀVĀJUMĀ IEKĻAUJAMIE DOKUMENTI</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BodyText3"/>
        <w:numPr>
          <w:ilvl w:val="1"/>
          <w:numId w:val="10"/>
        </w:numPr>
        <w:rPr>
          <w:sz w:val="24"/>
          <w:szCs w:val="24"/>
          <w:u w:val="single"/>
        </w:rPr>
      </w:pPr>
      <w:r>
        <w:rPr>
          <w:sz w:val="24"/>
          <w:szCs w:val="24"/>
        </w:rPr>
        <w:t xml:space="preserve">   </w:t>
      </w:r>
      <w:r>
        <w:rPr>
          <w:b/>
          <w:sz w:val="24"/>
          <w:szCs w:val="24"/>
          <w:u w:val="single"/>
        </w:rPr>
        <w:t>Pretendentam piedāvājumā jāiekļauj šādi dokumenti zemāk norādītajā secībā</w:t>
      </w:r>
      <w:r>
        <w:rPr>
          <w:sz w:val="24"/>
          <w:szCs w:val="24"/>
          <w:u w:val="single"/>
        </w:rPr>
        <w:t>:</w:t>
      </w:r>
    </w:p>
    <w:p>
      <w:pPr>
        <w:pStyle w:val="BodyText3"/>
        <w:numPr>
          <w:ilvl w:val="2"/>
          <w:numId w:val="10"/>
        </w:numPr>
        <w:spacing w:before="120" w:after="0"/>
        <w:rPr>
          <w:sz w:val="24"/>
          <w:szCs w:val="24"/>
        </w:rPr>
      </w:pPr>
      <w:r>
        <w:rPr>
          <w:b/>
          <w:sz w:val="24"/>
          <w:szCs w:val="24"/>
          <w:u w:val="single"/>
        </w:rPr>
        <w:t>Pretendenta pieteikums dalībai iepirkumā</w:t>
      </w:r>
      <w:r>
        <w:rPr>
          <w:sz w:val="24"/>
          <w:szCs w:val="24"/>
        </w:rPr>
        <w:t xml:space="preserve">, atbilstoši nolikuma 1. pielikumā pievienotajai veidlapai “Pretendenta pieteikums dalībai iepirkumā”. </w:t>
      </w:r>
    </w:p>
    <w:p>
      <w:pPr>
        <w:pStyle w:val="BodyText3"/>
        <w:numPr>
          <w:ilvl w:val="2"/>
          <w:numId w:val="10"/>
        </w:numPr>
        <w:spacing w:before="120" w:after="0"/>
        <w:rPr>
          <w:sz w:val="24"/>
          <w:szCs w:val="24"/>
        </w:rPr>
      </w:pPr>
      <w:r>
        <w:rPr>
          <w:b/>
          <w:bCs/>
          <w:sz w:val="24"/>
          <w:szCs w:val="24"/>
        </w:rPr>
        <w:t>Apliecinājums par neatkarīgi izstrādātu piedāvājumu</w:t>
      </w:r>
      <w:r>
        <w:rPr>
          <w:sz w:val="24"/>
          <w:szCs w:val="24"/>
        </w:rPr>
        <w:t xml:space="preserve">, atbilstoši nolikuma 7.pielikumā pievienotajai veidlapai. </w:t>
      </w:r>
    </w:p>
    <w:p>
      <w:pPr>
        <w:pStyle w:val="BodyText3"/>
        <w:numPr>
          <w:ilvl w:val="2"/>
          <w:numId w:val="10"/>
        </w:numPr>
        <w:spacing w:before="120" w:after="0"/>
        <w:rPr>
          <w:sz w:val="24"/>
          <w:szCs w:val="24"/>
          <w:u w:val="single"/>
        </w:rPr>
      </w:pPr>
      <w:r>
        <w:rPr>
          <w:b/>
          <w:sz w:val="24"/>
          <w:szCs w:val="24"/>
          <w:u w:val="single"/>
        </w:rPr>
        <w:t>Finanšu piedāvājums</w:t>
      </w:r>
      <w:r>
        <w:rPr>
          <w:sz w:val="24"/>
          <w:szCs w:val="24"/>
        </w:rPr>
        <w:t>, kura sagatavošanā ievērotas nolikuma V. sadaļā noteiktās prasības un kas iesniegts atbilstoši nolikuma 4. pielikumā pievienotajai veidlapai.</w:t>
      </w:r>
    </w:p>
    <w:p>
      <w:pPr>
        <w:pStyle w:val="ListParagraph"/>
        <w:numPr>
          <w:ilvl w:val="2"/>
          <w:numId w:val="10"/>
        </w:numPr>
        <w:spacing w:before="120" w:after="120"/>
        <w:contextualSpacing/>
        <w:jc w:val="both"/>
        <w:rPr>
          <w:rFonts w:ascii="Times New Roman" w:hAnsi="Times New Roman"/>
          <w:color w:val="FF0000"/>
          <w:szCs w:val="24"/>
        </w:rPr>
      </w:pPr>
      <w:r>
        <w:rPr>
          <w:rFonts w:ascii="Times New Roman" w:hAnsi="Times New Roman"/>
          <w:b/>
          <w:szCs w:val="24"/>
          <w:u w:val="single"/>
        </w:rPr>
        <w:t>Tehniskais piedāvājums</w:t>
      </w:r>
      <w:r>
        <w:rPr>
          <w:rFonts w:ascii="Times New Roman" w:hAnsi="Times New Roman"/>
          <w:szCs w:val="24"/>
        </w:rPr>
        <w:t>, kura sagatavošanā ievērotas nolikuma V. sadaļā noteiktās prasības un kas iesniegts atbilstoši nolikuma 5. pielikumā pievienotajai veidlapai.</w:t>
      </w:r>
    </w:p>
    <w:p>
      <w:pPr>
        <w:pStyle w:val="Normal"/>
        <w:numPr>
          <w:ilvl w:val="2"/>
          <w:numId w:val="10"/>
        </w:numPr>
        <w:tabs>
          <w:tab w:val="clear" w:pos="567"/>
          <w:tab w:val="left" w:pos="709" w:leader="none"/>
        </w:tabs>
        <w:spacing w:before="0" w:after="120"/>
        <w:ind w:left="709" w:hanging="709"/>
        <w:jc w:val="both"/>
        <w:rPr>
          <w:rFonts w:ascii="Times New Roman" w:hAnsi="Times New Roman" w:cs="Times New Roman"/>
          <w:color w:val="FF0000"/>
          <w:sz w:val="24"/>
          <w:szCs w:val="24"/>
        </w:rPr>
      </w:pPr>
      <w:r>
        <w:rPr>
          <w:rFonts w:cs="Times New Roman" w:ascii="Times New Roman" w:hAnsi="Times New Roman"/>
          <w:b/>
          <w:sz w:val="24"/>
          <w:szCs w:val="24"/>
          <w:u w:val="single"/>
        </w:rPr>
        <w:t>Pretendenta kvalifikācijas dokumenti</w:t>
      </w:r>
      <w:r>
        <w:rPr>
          <w:rFonts w:cs="Times New Roman" w:ascii="Times New Roman" w:hAnsi="Times New Roman"/>
          <w:sz w:val="24"/>
          <w:szCs w:val="24"/>
        </w:rPr>
        <w:t>, kas uzskaitīti šī punkta tabulā “Pretendenta un tā piedāvājuma atbilstības prasības”, un kuru sagatavošanā un iekļaušanā piedāvājumā ievērotas nolikuma V. sadaļā noteiktās prasības.</w:t>
      </w:r>
    </w:p>
    <w:p>
      <w:pPr>
        <w:pStyle w:val="Normal"/>
        <w:tabs>
          <w:tab w:val="clear" w:pos="567"/>
          <w:tab w:val="left" w:pos="709" w:leader="none"/>
        </w:tabs>
        <w:spacing w:before="0" w:after="120"/>
        <w:ind w:left="709" w:hanging="0"/>
        <w:jc w:val="center"/>
        <w:rPr>
          <w:rFonts w:ascii="Times New Roman" w:hAnsi="Times New Roman" w:cs="Times New Roman"/>
          <w:b/>
          <w:b/>
          <w:sz w:val="24"/>
          <w:szCs w:val="24"/>
        </w:rPr>
      </w:pPr>
      <w:r>
        <w:rPr>
          <w:rFonts w:cs="Times New Roman" w:ascii="Times New Roman" w:hAnsi="Times New Roman"/>
          <w:b/>
          <w:sz w:val="24"/>
          <w:szCs w:val="24"/>
        </w:rPr>
      </w:r>
    </w:p>
    <w:tbl>
      <w:tblPr>
        <w:tblW w:w="21098" w:type="dxa"/>
        <w:jc w:val="left"/>
        <w:tblInd w:w="221" w:type="dxa"/>
        <w:tblLayout w:type="fixed"/>
        <w:tblCellMar>
          <w:top w:w="0" w:type="dxa"/>
          <w:left w:w="108" w:type="dxa"/>
          <w:bottom w:w="0" w:type="dxa"/>
          <w:right w:w="108" w:type="dxa"/>
        </w:tblCellMar>
        <w:tblLook w:firstRow="0" w:noVBand="0" w:lastRow="0" w:firstColumn="0" w:lastColumn="0" w:noHBand="0" w:val="0000"/>
      </w:tblPr>
      <w:tblGrid>
        <w:gridCol w:w="850"/>
        <w:gridCol w:w="4394"/>
        <w:gridCol w:w="4537"/>
        <w:gridCol w:w="5787"/>
        <w:gridCol w:w="5530"/>
      </w:tblGrid>
      <w:tr>
        <w:trPr>
          <w:trHeight w:val="404" w:hRule="atLeast"/>
        </w:trPr>
        <w:tc>
          <w:tcPr>
            <w:tcW w:w="85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Nr. p.k.</w:t>
            </w:r>
          </w:p>
        </w:tc>
        <w:tc>
          <w:tcPr>
            <w:tcW w:w="43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PRETENDENTA UN TĀ PIEDĀVĀJUMA ATBILSTĪBAS PRASĪBAS</w:t>
            </w:r>
          </w:p>
        </w:tc>
        <w:tc>
          <w:tcPr>
            <w:tcW w:w="4537" w:type="dxa"/>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IESNIEDZAMAIS DOKUMENTS</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978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54" w:hanging="0"/>
              <w:rPr>
                <w:rFonts w:ascii="Times New Roman" w:hAnsi="Times New Roman" w:cs="Times New Roman"/>
                <w:b/>
                <w:b/>
                <w:sz w:val="24"/>
                <w:szCs w:val="24"/>
              </w:rPr>
            </w:pPr>
            <w:r>
              <w:rPr>
                <w:rFonts w:cs="Times New Roman" w:ascii="Times New Roman" w:hAnsi="Times New Roman"/>
                <w:b/>
                <w:sz w:val="24"/>
                <w:szCs w:val="24"/>
              </w:rPr>
              <w:t>1.                            PRETENDENTA KVALIFIKĀCIJAS PRASĪBAS</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978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54" w:hanging="0"/>
              <w:jc w:val="center"/>
              <w:rPr>
                <w:rFonts w:ascii="Times New Roman" w:hAnsi="Times New Roman" w:cs="Times New Roman"/>
                <w:b/>
                <w:b/>
                <w:sz w:val="24"/>
                <w:szCs w:val="24"/>
              </w:rPr>
            </w:pPr>
            <w:r>
              <w:rPr>
                <w:rFonts w:cs="Times New Roman" w:ascii="Times New Roman" w:hAnsi="Times New Roman"/>
                <w:b/>
                <w:sz w:val="24"/>
                <w:szCs w:val="24"/>
              </w:rPr>
              <w:t>Pretendenta atbilstība profesionālās darbības veikšanai:</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85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54" w:hanging="0"/>
              <w:rPr>
                <w:rFonts w:ascii="Times New Roman" w:hAnsi="Times New Roman" w:cs="Times New Roman"/>
                <w:sz w:val="24"/>
                <w:szCs w:val="24"/>
              </w:rPr>
            </w:pPr>
            <w:r>
              <w:rPr>
                <w:rFonts w:cs="Times New Roman" w:ascii="Times New Roman" w:hAnsi="Times New Roman"/>
                <w:sz w:val="24"/>
                <w:szCs w:val="24"/>
              </w:rPr>
              <w:t>1.1.</w:t>
            </w:r>
          </w:p>
        </w:tc>
        <w:tc>
          <w:tcPr>
            <w:tcW w:w="43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Times New Roman" w:hAnsi="Times New Roman"/>
                <w:sz w:val="24"/>
                <w:szCs w:val="24"/>
              </w:rPr>
            </w:pPr>
            <w:r>
              <w:rPr>
                <w:rFonts w:ascii="Times New Roman" w:hAnsi="Times New Roman"/>
                <w:sz w:val="24"/>
                <w:szCs w:val="24"/>
              </w:rPr>
              <w:t xml:space="preserve">Pretendentam jānodrošina, </w:t>
            </w:r>
            <w:bookmarkStart w:id="9" w:name="_Hlk97055250"/>
            <w:r>
              <w:rPr>
                <w:rFonts w:ascii="Times New Roman" w:hAnsi="Times New Roman"/>
                <w:sz w:val="24"/>
                <w:szCs w:val="24"/>
              </w:rPr>
              <w:t>ka speciālistam (-iem), kurš (-i) veiks nekustamā īpašumu vērtēšanu uz līguma noslēgšanas brīdi un visā līguma darbības laikā ir spēkā esošs Latvijas īpašumu vērtētāju asociācijas izdots sertifikāts vai cits ekvivalents sertifikāts</w:t>
            </w:r>
            <w:bookmarkEnd w:id="9"/>
            <w:r>
              <w:rPr>
                <w:rFonts w:ascii="Times New Roman" w:hAnsi="Times New Roman"/>
                <w:sz w:val="24"/>
                <w:szCs w:val="24"/>
              </w:rPr>
              <w:t>.</w:t>
            </w:r>
          </w:p>
        </w:tc>
        <w:tc>
          <w:tcPr>
            <w:tcW w:w="4537"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both"/>
              <w:rPr>
                <w:rFonts w:ascii="Times New Roman" w:hAnsi="Times New Roman" w:cs="Times New Roman"/>
                <w:b/>
                <w:b/>
                <w:sz w:val="24"/>
                <w:szCs w:val="24"/>
              </w:rPr>
            </w:pPr>
            <w:r>
              <w:rPr>
                <w:rFonts w:cs="Times New Roman" w:ascii="Times New Roman" w:hAnsi="Times New Roman"/>
                <w:sz w:val="24"/>
                <w:szCs w:val="24"/>
              </w:rPr>
              <w:t xml:space="preserve">Pretendents, tā apakšuzņēmējs, vai persona, uz kuras iespējām pretendents balstās ir </w:t>
            </w:r>
            <w:r>
              <w:rPr>
                <w:rFonts w:ascii="Times New Roman" w:hAnsi="Times New Roman"/>
                <w:sz w:val="24"/>
                <w:szCs w:val="24"/>
              </w:rPr>
              <w:t xml:space="preserve">Latvijas īpašumu vērtētāju asociācijas </w:t>
            </w:r>
            <w:r>
              <w:rPr>
                <w:rFonts w:cs="Times New Roman" w:ascii="Times New Roman" w:hAnsi="Times New Roman"/>
                <w:sz w:val="24"/>
                <w:szCs w:val="24"/>
              </w:rPr>
              <w:t xml:space="preserve">vai līdzvērtīgas iestādes savā mītnes zemē licencēts speciālists  </w:t>
            </w:r>
            <w:r>
              <w:rPr>
                <w:rFonts w:ascii="Times New Roman" w:hAnsi="Times New Roman"/>
                <w:sz w:val="24"/>
                <w:szCs w:val="24"/>
              </w:rPr>
              <w:t>nekustamā īpašumu vērtēšanā</w:t>
            </w:r>
            <w:r>
              <w:rPr>
                <w:rFonts w:cs="Times New Roman" w:ascii="Times New Roman" w:hAnsi="Times New Roman"/>
                <w:sz w:val="24"/>
                <w:szCs w:val="24"/>
              </w:rPr>
              <w:t>.</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978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widowControl w:val="false"/>
              <w:ind w:left="154" w:hanging="0"/>
              <w:jc w:val="center"/>
              <w:rPr>
                <w:rFonts w:ascii="Times New Roman" w:hAnsi="Times New Roman" w:cs="Times New Roman"/>
                <w:b/>
                <w:b/>
                <w:bCs/>
                <w:sz w:val="24"/>
                <w:szCs w:val="24"/>
              </w:rPr>
            </w:pPr>
            <w:bookmarkStart w:id="10" w:name="_Hlk113873585"/>
            <w:r>
              <w:rPr>
                <w:rFonts w:cs="Times New Roman" w:ascii="Times New Roman" w:hAnsi="Times New Roman"/>
                <w:b/>
                <w:bCs/>
                <w:sz w:val="24"/>
                <w:szCs w:val="24"/>
              </w:rPr>
              <w:t>Prasības pretendenta tehniskajām un profesionālajām spējām</w:t>
            </w:r>
            <w:bookmarkEnd w:id="10"/>
            <w:r>
              <w:rPr>
                <w:rFonts w:cs="Times New Roman" w:ascii="Times New Roman" w:hAnsi="Times New Roman"/>
                <w:b/>
                <w:bCs/>
                <w:sz w:val="24"/>
                <w:szCs w:val="24"/>
              </w:rPr>
              <w:t>:</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1.2.</w:t>
            </w:r>
          </w:p>
        </w:tc>
        <w:tc>
          <w:tcPr>
            <w:tcW w:w="4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Pretendents iepriekšējo 3 (trīs) gadu periodā (2021., 2022., 2023. un 2024.gadā līdz piedāvājuma iesniegšanas dienai), 1 (viena) līguma ietvaros, ir izstrādājis ne mazāk kā 50 (piecdesmit) nekustamo īpašumu vērtējumus, par kopējo līguma summu ne mazāk kā 10000 EUR bez PVN.</w:t>
            </w:r>
          </w:p>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before="0" w:after="200"/>
              <w:ind w:left="35" w:hanging="35"/>
              <w:jc w:val="both"/>
              <w:rPr>
                <w:rFonts w:ascii="Times New Roman" w:hAnsi="Times New Roman" w:cs="Times New Roman"/>
                <w:color w:val="000000"/>
                <w:sz w:val="24"/>
                <w:szCs w:val="24"/>
                <w:lang w:eastAsia="en-US"/>
              </w:rPr>
            </w:pPr>
            <w:r>
              <w:rPr>
                <w:rFonts w:eastAsia="Calibri" w:cs="Times New Roman" w:ascii="Times New Roman" w:hAnsi="Times New Roman" w:eastAsiaTheme="minorHAnsi"/>
                <w:bCs/>
                <w:sz w:val="24"/>
                <w:szCs w:val="24"/>
                <w:lang w:eastAsia="ar-SA"/>
              </w:rPr>
              <w:t xml:space="preserve">Vismaz 1 (viena) atsauksme, kurā tiek iekļauta pieprasītā informācija par pretendenta piedāvājumā norādīto pakalpojumu veikšanu, kas atbilst šajā punktā izvirzītajām prasībām. </w:t>
            </w:r>
          </w:p>
          <w:p>
            <w:pPr>
              <w:pStyle w:val="Normal"/>
              <w:widowControl w:val="false"/>
              <w:spacing w:before="0" w:after="200"/>
              <w:ind w:left="35" w:hanging="35"/>
              <w:jc w:val="both"/>
              <w:rPr>
                <w:rFonts w:ascii="Times New Roman" w:hAnsi="Times New Roman" w:cs="Times New Roman"/>
                <w:color w:val="000000"/>
                <w:sz w:val="24"/>
                <w:szCs w:val="24"/>
                <w:lang w:eastAsia="en-US"/>
              </w:rPr>
            </w:pPr>
            <w:r>
              <w:rPr>
                <w:rFonts w:eastAsia="Calibri" w:cs="Times New Roman" w:ascii="Times New Roman" w:hAnsi="Times New Roman" w:eastAsiaTheme="minorHAnsi"/>
                <w:bCs/>
                <w:sz w:val="24"/>
                <w:szCs w:val="24"/>
                <w:lang w:eastAsia="ar-SA"/>
              </w:rPr>
              <w:t>Ja pretendentam objektīvi nav iespējams iegūt pasūtītāja atsauksmi, kas satur visu prasīto informāciju, tas var iesniegt, p</w:t>
            </w:r>
            <w:r>
              <w:rPr>
                <w:rFonts w:cs="Times New Roman" w:ascii="Times New Roman" w:hAnsi="Times New Roman"/>
                <w:color w:val="000000"/>
                <w:sz w:val="24"/>
                <w:szCs w:val="24"/>
                <w:lang w:eastAsia="en-US"/>
              </w:rPr>
              <w:t>iemēram, pieņemšanas-nodošanas aktus.</w:t>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Times New Roman" w:hAnsi="Times New Roman" w:cs="Times New Roman"/>
                <w:sz w:val="24"/>
                <w:szCs w:val="24"/>
                <w:lang w:eastAsia="en-US"/>
              </w:rPr>
            </w:pPr>
            <w:r>
              <w:rPr>
                <w:rFonts w:cs="Times New Roman" w:ascii="Times New Roman" w:hAnsi="Times New Roman"/>
                <w:sz w:val="24"/>
                <w:szCs w:val="24"/>
                <w:lang w:eastAsia="en-US"/>
              </w:rPr>
              <w:t>Pretendenta kvalifikācijas veidlapa (nolikuma 6. pielikums)</w:t>
            </w:r>
          </w:p>
        </w:tc>
        <w:tc>
          <w:tcPr>
            <w:tcW w:w="5787" w:type="dxa"/>
            <w:tcBorders/>
            <w:vAlign w:val="center"/>
          </w:tcPr>
          <w:p>
            <w:pPr>
              <w:pStyle w:val="Normal"/>
              <w:widowControl w:val="false"/>
              <w:spacing w:lineRule="auto" w:line="276"/>
              <w:jc w:val="both"/>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5530" w:type="dxa"/>
            <w:tcBorders/>
          </w:tcPr>
          <w:p>
            <w:pPr>
              <w:pStyle w:val="Normal"/>
              <w:widowControl w:val="false"/>
              <w:spacing w:lineRule="auto" w:line="276"/>
              <w:jc w:val="both"/>
              <w:rPr>
                <w:rFonts w:ascii="Times New Roman" w:hAnsi="Times New Roman" w:cs="Times New Roman"/>
                <w:sz w:val="24"/>
                <w:szCs w:val="24"/>
                <w:lang w:eastAsia="en-US"/>
              </w:rPr>
            </w:pPr>
            <w:r>
              <w:rPr>
                <w:rFonts w:cs="Times New Roman" w:ascii="Times New Roman" w:hAnsi="Times New Roman"/>
                <w:sz w:val="24"/>
                <w:szCs w:val="24"/>
                <w:lang w:eastAsia="en-US"/>
              </w:rPr>
              <w:t>Pretendentam iepriekšējo _( ) gadu laikā, līdz piedāvājuma iesniegšanas dienai, ir pieredze 2 (divu) ______________ būvdarbu veikšanā, kur veikto ________ būvdarbu apjoms vienā objektā ir bijis ne mazāks kā ___ EUR. Objekti nodoti ekspluatācijā.</w:t>
            </w:r>
          </w:p>
        </w:tc>
      </w:tr>
      <w:tr>
        <w:trPr>
          <w:trHeight w:val="340" w:hRule="atLeast"/>
        </w:trPr>
        <w:tc>
          <w:tcPr>
            <w:tcW w:w="9781" w:type="dxa"/>
            <w:gridSpan w:val="3"/>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widowControl w:val="false"/>
              <w:ind w:left="154" w:hanging="0"/>
              <w:rPr>
                <w:rFonts w:ascii="Times New Roman" w:hAnsi="Times New Roman" w:cs="Times New Roman"/>
                <w:b/>
                <w:b/>
                <w:sz w:val="24"/>
                <w:szCs w:val="24"/>
              </w:rPr>
            </w:pPr>
            <w:bookmarkStart w:id="11" w:name="_Hlk94084806"/>
            <w:bookmarkEnd w:id="11"/>
            <w:r>
              <w:rPr>
                <w:rFonts w:cs="Times New Roman" w:ascii="Times New Roman" w:hAnsi="Times New Roman"/>
                <w:b/>
                <w:sz w:val="24"/>
                <w:szCs w:val="24"/>
              </w:rPr>
              <w:t>2.                     PIEDĀVĀJUMA ATBILSTĪBAS VISPĀRĒJĀS PRASĪBAS</w:t>
            </w:r>
          </w:p>
        </w:tc>
        <w:tc>
          <w:tcPr>
            <w:tcW w:w="5787" w:type="dxa"/>
            <w:tcBorders/>
          </w:tcPr>
          <w:p>
            <w:pPr>
              <w:pStyle w:val="Normal"/>
              <w:widowControl w:val="false"/>
              <w:rPr/>
            </w:pPr>
            <w:r>
              <w:rPr/>
            </w:r>
          </w:p>
        </w:tc>
        <w:tc>
          <w:tcPr>
            <w:tcW w:w="5530" w:type="dxa"/>
            <w:tcBorders/>
          </w:tcPr>
          <w:p>
            <w:pPr>
              <w:pStyle w:val="Normal"/>
              <w:widowControl w:val="false"/>
              <w:rPr/>
            </w:pPr>
            <w:r>
              <w:rPr/>
            </w:r>
            <w:bookmarkStart w:id="12" w:name="_Hlk940848061"/>
            <w:bookmarkStart w:id="13" w:name="_Hlk940848061"/>
            <w:bookmarkEnd w:id="13"/>
          </w:p>
        </w:tc>
      </w:tr>
      <w:tr>
        <w:trPr>
          <w:trHeight w:val="34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4"/>
                <w:szCs w:val="24"/>
              </w:rPr>
            </w:pPr>
            <w:r>
              <w:rPr>
                <w:rFonts w:cs="Times New Roman" w:ascii="Times New Roman" w:hAnsi="Times New Roman"/>
                <w:sz w:val="24"/>
                <w:szCs w:val="24"/>
              </w:rPr>
              <w:t>2.1.</w:t>
            </w:r>
          </w:p>
          <w:p>
            <w:pPr>
              <w:pStyle w:val="Normal"/>
              <w:widowControl w:val="false"/>
              <w:jc w:val="center"/>
              <w:rPr>
                <w:rFonts w:ascii="Times New Roman" w:hAnsi="Times New Roman" w:cs="Times New Roman"/>
                <w:sz w:val="24"/>
                <w:szCs w:val="24"/>
              </w:rPr>
            </w:pPr>
            <w:r>
              <w:rPr>
                <w:rFonts w:cs="Times New Roman" w:ascii="Times New Roman" w:hAnsi="Times New Roman"/>
                <w:sz w:val="24"/>
                <w:szCs w:val="24"/>
              </w:rPr>
            </w:r>
          </w:p>
        </w:tc>
        <w:tc>
          <w:tcPr>
            <w:tcW w:w="4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i/>
                <w:i/>
                <w:sz w:val="24"/>
                <w:szCs w:val="24"/>
              </w:rPr>
            </w:pPr>
            <w:r>
              <w:rPr>
                <w:rFonts w:cs="Times New Roman" w:ascii="Times New Roman" w:hAnsi="Times New Roman"/>
                <w:sz w:val="24"/>
                <w:szCs w:val="24"/>
              </w:rPr>
              <w:t xml:space="preserve">Piedāvājumā iekļautos dokumentus, kurus izdevis pretendents </w:t>
            </w:r>
            <w:r>
              <w:rPr>
                <w:rFonts w:cs="Times New Roman" w:ascii="Times New Roman" w:hAnsi="Times New Roman"/>
                <w:i/>
                <w:sz w:val="24"/>
                <w:szCs w:val="24"/>
              </w:rPr>
              <w:t>(piegādātāju apvienības dalībnieks, ja piedāvājumu ir iesniegusi piegādātāju apvienība; persona, uz kuras iespējām pretendents balstās)</w:t>
            </w:r>
            <w:r>
              <w:rPr>
                <w:rFonts w:cs="Times New Roman" w:ascii="Times New Roman" w:hAnsi="Times New Roman"/>
                <w:sz w:val="24"/>
                <w:szCs w:val="24"/>
              </w:rPr>
              <w:t>, ir parakstījusi tā</w:t>
            </w:r>
            <w:r>
              <w:rPr>
                <w:rFonts w:cs="Times New Roman" w:ascii="Times New Roman" w:hAnsi="Times New Roman"/>
                <w:i/>
                <w:sz w:val="24"/>
                <w:szCs w:val="24"/>
              </w:rPr>
              <w:t xml:space="preserve"> </w:t>
            </w:r>
            <w:r>
              <w:rPr>
                <w:rFonts w:cs="Times New Roman" w:ascii="Times New Roman" w:hAnsi="Times New Roman"/>
                <w:sz w:val="24"/>
                <w:szCs w:val="24"/>
              </w:rPr>
              <w:t>pilnvarotā persona sava pilnvarojuma robežās.</w:t>
            </w:r>
          </w:p>
        </w:tc>
        <w:tc>
          <w:tcPr>
            <w:tcW w:w="4537"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Pilnvara (oriģināls vai kopija), ja attiecas.</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color w:val="FF0000"/>
                <w:sz w:val="24"/>
                <w:szCs w:val="24"/>
              </w:rPr>
            </w:pPr>
            <w:r>
              <w:rPr>
                <w:rFonts w:cs="Times New Roman" w:ascii="Times New Roman" w:hAnsi="Times New Roman"/>
                <w:sz w:val="24"/>
                <w:szCs w:val="24"/>
              </w:rPr>
              <w:t>2.2.</w:t>
            </w:r>
          </w:p>
        </w:tc>
        <w:tc>
          <w:tcPr>
            <w:tcW w:w="4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Pretendents piedāvājumā ir iekļāvis visu piegādātāju apvienības dalībnieku parakstītu vienošanos, kas atbilst nolikuma 3.2.3. punktā izvirzītajām prasībām.</w:t>
            </w:r>
          </w:p>
        </w:tc>
        <w:tc>
          <w:tcPr>
            <w:tcW w:w="4537"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Piegādātāju apvienības dalībnieku parakstīta vienošanās (nolikuma 3.2.3. punkts), ja attiecas.</w:t>
            </w:r>
          </w:p>
        </w:tc>
        <w:tc>
          <w:tcPr>
            <w:tcW w:w="5787" w:type="dxa"/>
            <w:tcBorders/>
          </w:tcPr>
          <w:p>
            <w:pPr>
              <w:pStyle w:val="Normal"/>
              <w:widowControl w:val="false"/>
              <w:rPr/>
            </w:pPr>
            <w:r>
              <w:rPr/>
            </w:r>
          </w:p>
        </w:tc>
        <w:tc>
          <w:tcPr>
            <w:tcW w:w="5530" w:type="dxa"/>
            <w:tcBorders/>
          </w:tcPr>
          <w:p>
            <w:pPr>
              <w:pStyle w:val="Normal"/>
              <w:widowControl w:val="false"/>
              <w:rPr/>
            </w:pPr>
            <w:r>
              <w:rPr/>
            </w:r>
          </w:p>
        </w:tc>
      </w:tr>
      <w:tr>
        <w:trPr>
          <w:trHeight w:val="34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color w:val="FF0000"/>
                <w:sz w:val="24"/>
                <w:szCs w:val="24"/>
              </w:rPr>
            </w:pPr>
            <w:r>
              <w:rPr>
                <w:rFonts w:cs="Times New Roman" w:ascii="Times New Roman" w:hAnsi="Times New Roman"/>
                <w:sz w:val="24"/>
                <w:szCs w:val="24"/>
              </w:rPr>
              <w:t>2.3.</w:t>
            </w:r>
          </w:p>
        </w:tc>
        <w:tc>
          <w:tcPr>
            <w:tcW w:w="4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Pretendents piedāvājumā attiecībā uz katru personu, uz kuras iespējām pretendents balstās, ir iekļāvis parakstītu vienošanos, kur vienošanās atbilst nolikuma 3.3.3. punktā izvirzītajām prasībām.</w:t>
            </w:r>
          </w:p>
        </w:tc>
        <w:tc>
          <w:tcPr>
            <w:tcW w:w="4537"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Pretendenta un personas, uz kuras iespējām pretendents balstās, parakstīta vienošanās (nolikuma 3.3.3. punkts), ja attiecas.</w:t>
            </w:r>
          </w:p>
        </w:tc>
        <w:tc>
          <w:tcPr>
            <w:tcW w:w="5787" w:type="dxa"/>
            <w:tcBorders/>
          </w:tcPr>
          <w:p>
            <w:pPr>
              <w:pStyle w:val="Normal"/>
              <w:widowControl w:val="false"/>
              <w:rPr/>
            </w:pPr>
            <w:r>
              <w:rPr/>
            </w:r>
          </w:p>
        </w:tc>
        <w:tc>
          <w:tcPr>
            <w:tcW w:w="5530" w:type="dxa"/>
            <w:tcBorders/>
          </w:tcPr>
          <w:p>
            <w:pPr>
              <w:pStyle w:val="Normal"/>
              <w:widowControl w:val="false"/>
              <w:rPr/>
            </w:pPr>
            <w:r>
              <w:rPr/>
            </w:r>
          </w:p>
        </w:tc>
      </w:tr>
    </w:tbl>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9"/>
        </w:numPr>
        <w:ind w:left="0" w:hanging="0"/>
        <w:jc w:val="center"/>
        <w:rPr>
          <w:rFonts w:ascii="Times New Roman" w:hAnsi="Times New Roman" w:cs="Times New Roman"/>
          <w:b/>
          <w:b/>
          <w:sz w:val="24"/>
          <w:szCs w:val="24"/>
        </w:rPr>
      </w:pPr>
      <w:r>
        <w:rPr>
          <w:rFonts w:cs="Times New Roman" w:ascii="Times New Roman" w:hAnsi="Times New Roman"/>
          <w:b/>
          <w:sz w:val="24"/>
          <w:szCs w:val="24"/>
        </w:rPr>
        <w:t>PIEDĀVĀJUMU IESNIEGŠANAS KĀRTĪBA</w:t>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7.1. Piedāvājumu piegādātājs var iesniegt sākot ar iepirkuma izsludināšanas dienu </w:t>
      </w:r>
      <w:r>
        <w:rPr>
          <w:rFonts w:cs="Times New Roman" w:ascii="Times New Roman" w:hAnsi="Times New Roman"/>
          <w:b/>
          <w:sz w:val="24"/>
          <w:szCs w:val="24"/>
        </w:rPr>
        <w:t>līdz piedāvājumu iesniegšanas termiņa beigām, kas norādīts iepirkuma publikācijā Elektronisko iepirkumu sistēmā</w:t>
      </w:r>
      <w:r>
        <w:rPr>
          <w:rFonts w:cs="Times New Roman" w:ascii="Times New Roman" w:hAnsi="Times New Roman"/>
          <w:sz w:val="24"/>
          <w:szCs w:val="24"/>
        </w:rPr>
        <w:t>, iesniedzot to Elektronisko iepirkumu sistēmā.</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Virsraksts1"/>
        <w:numPr>
          <w:ilvl w:val="0"/>
          <w:numId w:val="0"/>
        </w:numPr>
        <w:ind w:left="0" w:hanging="0"/>
        <w:rPr>
          <w:sz w:val="24"/>
          <w:szCs w:val="24"/>
        </w:rPr>
      </w:pPr>
      <w:r>
        <w:rPr>
          <w:sz w:val="24"/>
          <w:szCs w:val="24"/>
        </w:rPr>
        <w:t xml:space="preserve">VIII.  </w:t>
      </w:r>
      <w:bookmarkStart w:id="14" w:name="_Toc196038797"/>
      <w:r>
        <w:rPr>
          <w:sz w:val="24"/>
          <w:szCs w:val="24"/>
        </w:rPr>
        <w:t>PIEDĀVĀJUMU VĒRTĒŠANA</w:t>
      </w:r>
      <w:bookmarkEnd w:id="14"/>
    </w:p>
    <w:p>
      <w:pPr>
        <w:pStyle w:val="Normal"/>
        <w:jc w:val="both"/>
        <w:rPr>
          <w:rFonts w:ascii="Times New Roman" w:hAnsi="Times New Roman" w:cs="Times New Roman"/>
          <w:sz w:val="24"/>
          <w:szCs w:val="24"/>
        </w:rPr>
      </w:pPr>
      <w:r>
        <w:rPr>
          <w:rFonts w:cs="Times New Roman" w:ascii="Times New Roman" w:hAnsi="Times New Roman"/>
          <w:sz w:val="24"/>
          <w:szCs w:val="24"/>
        </w:rPr>
      </w:r>
      <w:bookmarkStart w:id="15" w:name="_Toc196038798"/>
      <w:bookmarkStart w:id="16" w:name="_Toc196038798"/>
    </w:p>
    <w:p>
      <w:pPr>
        <w:pStyle w:val="ListParagraph"/>
        <w:tabs>
          <w:tab w:val="clear" w:pos="567"/>
          <w:tab w:val="left" w:pos="709" w:leader="none"/>
        </w:tabs>
        <w:ind w:left="0" w:hanging="0"/>
        <w:jc w:val="both"/>
        <w:rPr>
          <w:rFonts w:ascii="Times New Roman" w:hAnsi="Times New Roman"/>
          <w:b/>
          <w:b/>
          <w:szCs w:val="24"/>
        </w:rPr>
      </w:pPr>
      <w:r>
        <w:rPr>
          <w:rFonts w:ascii="Times New Roman" w:hAnsi="Times New Roman"/>
          <w:b/>
          <w:szCs w:val="24"/>
        </w:rPr>
        <w:t xml:space="preserve">8.1.   </w:t>
      </w:r>
      <w:bookmarkStart w:id="17" w:name="OLE_LINK12"/>
      <w:bookmarkStart w:id="18" w:name="OLE_LINK13"/>
      <w:r>
        <w:rPr>
          <w:rFonts w:ascii="Times New Roman" w:hAnsi="Times New Roman"/>
          <w:b/>
          <w:szCs w:val="24"/>
        </w:rPr>
        <w:t>Pretendentu atlase un pretendentu piedāvājumu vispārējā atbilstības pārbaude</w:t>
      </w:r>
    </w:p>
    <w:p>
      <w:pPr>
        <w:pStyle w:val="Normal"/>
        <w:tabs>
          <w:tab w:val="clear" w:pos="567"/>
          <w:tab w:val="left" w:pos="709" w:leader="none"/>
        </w:tabs>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6.1.5. punktā pievienotās tabulas “Pretendenta un tā piedāvājuma atbilstības prasības” prasībām.</w:t>
      </w:r>
    </w:p>
    <w:p>
      <w:pPr>
        <w:pStyle w:val="Normal"/>
        <w:tabs>
          <w:tab w:val="clear" w:pos="567"/>
          <w:tab w:val="left" w:pos="709" w:leader="none"/>
        </w:tabs>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8.1.2.   </w:t>
      </w:r>
      <w:r>
        <w:rPr>
          <w:rFonts w:cs="Times New Roman" w:ascii="Times New Roman" w:hAnsi="Times New Roman"/>
          <w:color w:val="000000" w:themeColor="text1"/>
          <w:sz w:val="24"/>
          <w:szCs w:val="24"/>
        </w:rPr>
        <w:t xml:space="preserve">Ja pretendentu atlasē un to piedāvājumu atbilstības pārbaudes laikā Komisijai rodas jautājumi, Komisija nosūta tos pretendentam elektroniski, </w:t>
      </w:r>
      <w:r>
        <w:rPr>
          <w:rFonts w:cs="Times New Roman" w:ascii="Times New Roman" w:hAnsi="Times New Roman"/>
          <w:color w:val="000000" w:themeColor="text1"/>
          <w:kern w:val="2"/>
          <w:sz w:val="24"/>
          <w:szCs w:val="24"/>
        </w:rPr>
        <w:t>izmantojot drošu elektronisko parakstu vai pievienojot elektroniskajam pastam skenētu dokumentu</w:t>
      </w:r>
      <w:r>
        <w:rPr>
          <w:rFonts w:cs="Times New Roman" w:ascii="Times New Roman" w:hAnsi="Times New Roman"/>
          <w:color w:val="000000" w:themeColor="text1"/>
          <w:sz w:val="24"/>
          <w:szCs w:val="24"/>
        </w:rPr>
        <w:t>, samērīgi nosakot termiņu atbildes sniegšanai.</w:t>
      </w:r>
      <w:bookmarkEnd w:id="16"/>
      <w:bookmarkEnd w:id="17"/>
      <w:bookmarkEnd w:id="18"/>
    </w:p>
    <w:p>
      <w:pPr>
        <w:pStyle w:val="Normal"/>
        <w:tabs>
          <w:tab w:val="clear" w:pos="567"/>
          <w:tab w:val="left" w:pos="709" w:leader="none"/>
        </w:tabs>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8.1.3.  </w:t>
      </w:r>
      <w:r>
        <w:rPr>
          <w:rFonts w:cs="Times New Roman" w:ascii="Times New Roman" w:hAnsi="Times New Roman"/>
          <w:color w:val="000000" w:themeColor="text1"/>
          <w:sz w:val="24"/>
          <w:szCs w:val="24"/>
        </w:rPr>
        <w:t>Ja pretendenta kvalifikācija nav atzīstama par atbilstošu nolikuma 6.1.5. punktā pievienotās tabulas “Pretendenta un tā piedāvājuma atbilstības prasības” sadaļā “Prasības pretendenta tehniskajām un profesionālajām spējām” noteiktajām prasībām un/vai pretendenta piedāvājums nav atzīstams par atbilstošu nolikuma 6.1.5. punktā pievienotās tabulas “Pretendenta un tā piedāvājuma atbilstības prasības” sadaļā “Piedāvājuma atbilstības vispārējās prasības” noteiktajām prasībām, šāda pretendenta piedāvājums tiek noraidīts un netiek tālāk vērtēts.</w:t>
      </w:r>
    </w:p>
    <w:p>
      <w:pPr>
        <w:pStyle w:val="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sz w:val="24"/>
          <w:szCs w:val="24"/>
        </w:rPr>
      </w:pPr>
      <w:r>
        <w:rPr>
          <w:rFonts w:cs="Times New Roman" w:ascii="Times New Roman" w:hAnsi="Times New Roman"/>
          <w:b/>
          <w:sz w:val="24"/>
          <w:szCs w:val="24"/>
        </w:rPr>
        <w:t>8.2.    Tehnisko piedāvājumu vērtēšana</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Komisija izvērtē pretendentu tehniskos piedāvājumus atbilstoši Tehniskās specifikācijas prasībām.</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 xml:space="preserve">Pretendentam ir pienākums, ja to pieprasa Komisija, izskaidrot tehniskajā piedāvājumā iekļauto informāciju. Ja Komisijai rodas jautājumi, Komisija nosūta tos pretendentam elektroniski, </w:t>
      </w:r>
      <w:r>
        <w:rPr>
          <w:rFonts w:ascii="Times New Roman" w:hAnsi="Times New Roman"/>
          <w:kern w:val="2"/>
          <w:szCs w:val="24"/>
        </w:rPr>
        <w:t>izmantojot drošu elektronisko parakstu vai pievienojot elektroniskajam pastam skenētu dokumentu</w:t>
      </w:r>
      <w:r>
        <w:rPr>
          <w:rFonts w:ascii="Times New Roman" w:hAnsi="Times New Roman"/>
          <w:szCs w:val="24"/>
        </w:rPr>
        <w:t>, samērīgi nosakot termiņu atbildes sniegšanai.</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Ja pretendenta tehniskais piedāvājums neatbilst šī nolikuma Tehniskās specifikācijas prasībām, šāda pretendenta piedāvājums tiek noraidīts un netiek tālāk vērtēts.</w:t>
      </w:r>
    </w:p>
    <w:p>
      <w:pPr>
        <w:pStyle w:val="Normal"/>
        <w:numPr>
          <w:ilvl w:val="1"/>
          <w:numId w:val="22"/>
        </w:numPr>
        <w:ind w:left="709" w:hanging="709"/>
        <w:jc w:val="both"/>
        <w:rPr>
          <w:rFonts w:ascii="Times New Roman" w:hAnsi="Times New Roman" w:cs="Times New Roman"/>
          <w:sz w:val="24"/>
          <w:szCs w:val="24"/>
        </w:rPr>
      </w:pPr>
      <w:r>
        <w:rPr>
          <w:rFonts w:cs="Times New Roman" w:ascii="Times New Roman" w:hAnsi="Times New Roman"/>
          <w:b/>
          <w:sz w:val="24"/>
          <w:szCs w:val="24"/>
        </w:rPr>
        <w:t>Finanšu piedāvājuma vērtēšana</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Komisija izvērtē pretendentu finanšu piedāvājumus atbilstoši iepirkuma dokumentos izvirzītajām prasībām.</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 xml:space="preserve">Pretendentam ir pienākums, ja to pieprasa Komisija, izskaidrot finanšu piedāvājumā iekļauto informāciju. Ja Komisijai rodas jautājumi, Komisija nosūta tos pretendentam elektroniski, </w:t>
      </w:r>
      <w:r>
        <w:rPr>
          <w:rFonts w:ascii="Times New Roman" w:hAnsi="Times New Roman"/>
          <w:kern w:val="2"/>
          <w:szCs w:val="24"/>
        </w:rPr>
        <w:t>izmantojot drošu elektronisko parakstu vai pievienojot elektroniskajam pastam skenētu dokumentu</w:t>
      </w:r>
      <w:r>
        <w:rPr>
          <w:rFonts w:ascii="Times New Roman" w:hAnsi="Times New Roman"/>
          <w:szCs w:val="24"/>
        </w:rPr>
        <w:t>, samērīgi nosakot termiņu atbildes sniegšanai.</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pPr>
        <w:pStyle w:val="ListParagraph"/>
        <w:numPr>
          <w:ilvl w:val="2"/>
          <w:numId w:val="22"/>
        </w:numPr>
        <w:ind w:left="709" w:hanging="709"/>
        <w:jc w:val="both"/>
        <w:rPr>
          <w:rFonts w:ascii="Times New Roman" w:hAnsi="Times New Roman"/>
          <w:szCs w:val="24"/>
        </w:rPr>
      </w:pPr>
      <w:r>
        <w:rPr>
          <w:rFonts w:ascii="Times New Roman" w:hAnsi="Times New Roman"/>
          <w:szCs w:val="24"/>
        </w:rPr>
        <w:t xml:space="preserve">Ja pretendenta finanšu piedāvājums neatbilst iepirkuma dokumentos izvirzītajām prasībām un/vai tas pēc nolikuma 8.3.4. punktā minētās izvērtēšanas pabeigšanas ir atzīts par nepamatoti lētu, šāda pretendenta piedāvājums tiek noraidīts un netiek tālāk vērtēts. </w:t>
      </w:r>
    </w:p>
    <w:p>
      <w:pPr>
        <w:pStyle w:val="BodyTextIndent3"/>
        <w:ind w:left="0" w:hanging="0"/>
        <w:jc w:val="both"/>
        <w:rPr>
          <w:bCs/>
          <w:sz w:val="24"/>
          <w:szCs w:val="24"/>
        </w:rPr>
      </w:pPr>
      <w:r>
        <w:rPr>
          <w:bCs/>
          <w:sz w:val="24"/>
          <w:szCs w:val="24"/>
        </w:rPr>
      </w:r>
      <w:bookmarkStart w:id="19" w:name="_8._Metodika,_pēc"/>
      <w:bookmarkStart w:id="20" w:name="_8._Metodika,_pēc"/>
      <w:bookmarkEnd w:id="20"/>
    </w:p>
    <w:p>
      <w:pPr>
        <w:pStyle w:val="ListParagraph"/>
        <w:ind w:left="1457" w:hanging="0"/>
        <w:jc w:val="center"/>
        <w:rPr>
          <w:rFonts w:ascii="Times New Roman" w:hAnsi="Times New Roman"/>
          <w:b/>
          <w:b/>
          <w:szCs w:val="24"/>
        </w:rPr>
      </w:pPr>
      <w:r>
        <w:rPr>
          <w:rFonts w:ascii="Times New Roman" w:hAnsi="Times New Roman"/>
          <w:b/>
          <w:szCs w:val="24"/>
        </w:rPr>
        <w:t>IX. PIEDĀVĀJUMA IZVĒLE</w:t>
      </w:r>
    </w:p>
    <w:p>
      <w:pPr>
        <w:pStyle w:val="ListParagraph"/>
        <w:ind w:left="1457" w:hanging="0"/>
        <w:jc w:val="center"/>
        <w:rPr>
          <w:rFonts w:ascii="Times New Roman" w:hAnsi="Times New Roman"/>
          <w:b/>
          <w:b/>
          <w:szCs w:val="24"/>
        </w:rPr>
      </w:pPr>
      <w:r>
        <w:rPr>
          <w:rFonts w:ascii="Times New Roman" w:hAnsi="Times New Roman"/>
          <w:b/>
          <w:szCs w:val="24"/>
        </w:rPr>
      </w:r>
    </w:p>
    <w:p>
      <w:pPr>
        <w:pStyle w:val="ListParagraph"/>
        <w:ind w:left="0" w:hanging="0"/>
        <w:jc w:val="both"/>
        <w:rPr>
          <w:rFonts w:ascii="Times New Roman" w:hAnsi="Times New Roman"/>
          <w:b/>
          <w:b/>
          <w:szCs w:val="24"/>
        </w:rPr>
      </w:pPr>
      <w:r>
        <w:rPr>
          <w:rFonts w:ascii="Times New Roman" w:hAnsi="Times New Roman"/>
          <w:b/>
          <w:szCs w:val="24"/>
        </w:rPr>
        <w:t>9.1.      Piedāvājumu izvērtēšanas kritēriji</w:t>
      </w:r>
    </w:p>
    <w:p>
      <w:pPr>
        <w:pStyle w:val="ListParagraph"/>
        <w:numPr>
          <w:ilvl w:val="2"/>
          <w:numId w:val="14"/>
        </w:numPr>
        <w:ind w:left="709" w:hanging="720"/>
        <w:jc w:val="both"/>
        <w:rPr>
          <w:rFonts w:ascii="Times New Roman" w:hAnsi="Times New Roman"/>
          <w:b/>
          <w:b/>
          <w:szCs w:val="24"/>
        </w:rPr>
      </w:pPr>
      <w:r>
        <w:rPr>
          <w:rFonts w:ascii="Times New Roman" w:hAnsi="Times New Roman"/>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p>
    <w:p>
      <w:pPr>
        <w:pStyle w:val="ListParagraph"/>
        <w:numPr>
          <w:ilvl w:val="2"/>
          <w:numId w:val="14"/>
        </w:numPr>
        <w:ind w:left="709" w:hanging="720"/>
        <w:jc w:val="both"/>
        <w:rPr>
          <w:rFonts w:ascii="Times New Roman" w:hAnsi="Times New Roman"/>
          <w:szCs w:val="24"/>
        </w:rPr>
      </w:pPr>
      <w:r>
        <w:rPr>
          <w:rFonts w:ascii="Times New Roman" w:hAnsi="Times New Roman"/>
          <w:szCs w:val="24"/>
        </w:rPr>
        <w:t xml:space="preserve">Iepirkumu komisija nosaka saimnieciski visizdevīgāko piedāvājumu un pretendentu, kura piedāvājums tiek atzīts par saimnieciski visizdevīgāko, tiek piešķirtas iepirkuma līguma slēgšanas tiesībās. </w:t>
      </w:r>
    </w:p>
    <w:p>
      <w:pPr>
        <w:pStyle w:val="ListParagraph"/>
        <w:numPr>
          <w:ilvl w:val="2"/>
          <w:numId w:val="14"/>
        </w:numPr>
        <w:ind w:left="709" w:hanging="720"/>
        <w:jc w:val="both"/>
        <w:rPr>
          <w:rFonts w:ascii="Times New Roman" w:hAnsi="Times New Roman"/>
          <w:b/>
          <w:b/>
          <w:szCs w:val="24"/>
        </w:rPr>
      </w:pPr>
      <w:r>
        <w:rPr>
          <w:rFonts w:ascii="Times New Roman" w:hAnsi="Times New Roman"/>
        </w:rPr>
        <w:t>Saimnieciski visizdevīgākais piedāvājums tiek noteikts, salīdzinot aprēķinātos punktus katram piedāvājumam atsevišķi par vērtēšanas kritērijiem saskaņā ar šādu metodi:</w:t>
      </w:r>
    </w:p>
    <w:p>
      <w:pPr>
        <w:pStyle w:val="Normal"/>
        <w:jc w:val="both"/>
        <w:rPr>
          <w:rFonts w:ascii="Times New Roman" w:hAnsi="Times New Roman"/>
          <w:b/>
          <w:b/>
          <w:szCs w:val="24"/>
        </w:rPr>
      </w:pPr>
      <w:r>
        <w:rPr>
          <w:rFonts w:ascii="Times New Roman" w:hAnsi="Times New Roman"/>
          <w:b/>
          <w:szCs w:val="24"/>
        </w:rPr>
      </w:r>
    </w:p>
    <w:p>
      <w:pPr>
        <w:pStyle w:val="Normal"/>
        <w:numPr>
          <w:ilvl w:val="0"/>
          <w:numId w:val="24"/>
        </w:numPr>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Piedāvājumu vērtēšanu Iepirkumu komisija veic saskaņā ar šādiem kritērijiem:</w:t>
      </w:r>
    </w:p>
    <w:p>
      <w:pPr>
        <w:pStyle w:val="Normal"/>
        <w:spacing w:lineRule="auto" w:line="259"/>
        <w:jc w:val="both"/>
        <w:rPr>
          <w:color w:val="000000"/>
        </w:rPr>
      </w:pPr>
      <w:r>
        <w:rPr>
          <w:color w:val="000000"/>
        </w:rPr>
      </w:r>
    </w:p>
    <w:tbl>
      <w:tblPr>
        <w:tblW w:w="9781" w:type="dxa"/>
        <w:jc w:val="left"/>
        <w:tblInd w:w="-34" w:type="dxa"/>
        <w:tblLayout w:type="fixed"/>
        <w:tblCellMar>
          <w:top w:w="0" w:type="dxa"/>
          <w:left w:w="108" w:type="dxa"/>
          <w:bottom w:w="0" w:type="dxa"/>
          <w:right w:w="108" w:type="dxa"/>
        </w:tblCellMar>
        <w:tblLook w:firstRow="1" w:noVBand="1" w:lastRow="0" w:firstColumn="1" w:lastColumn="0" w:noHBand="0" w:val="04a0"/>
      </w:tblPr>
      <w:tblGrid>
        <w:gridCol w:w="990"/>
        <w:gridCol w:w="5542"/>
        <w:gridCol w:w="3249"/>
      </w:tblGrid>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Nr. p.k.</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Novērtējuma objekts</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rPr>
                <w:rFonts w:ascii="Times New Roman" w:hAnsi="Times New Roman" w:cs="Times New Roman"/>
                <w:b/>
                <w:b/>
                <w:sz w:val="24"/>
                <w:szCs w:val="24"/>
              </w:rPr>
            </w:pPr>
            <w:r>
              <w:rPr>
                <w:rFonts w:cs="Times New Roman" w:ascii="Times New Roman" w:hAnsi="Times New Roman"/>
                <w:b/>
                <w:sz w:val="24"/>
                <w:szCs w:val="24"/>
              </w:rPr>
              <w:t>Maksimālais punktu skaits</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w:t>
            </w:r>
          </w:p>
        </w:tc>
        <w:tc>
          <w:tcPr>
            <w:tcW w:w="879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Nekustamā īpašuma tirgus vērtības noteikšana</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1.1.</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dzīvojamās ēkas (būves) un palīgēkām</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10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1.2.</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nedzīvojamās ēkas (ēkām)</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10</w:t>
            </w:r>
          </w:p>
        </w:tc>
      </w:tr>
      <w:tr>
        <w:trPr>
          <w:trHeight w:val="519"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1.3.</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40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1.4.</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mežaudzes</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30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1.5.</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dzīvojamās ēkas (būves), palīgēkām</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5</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1.6.</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nedzīvojamās ēkas (ēkām)</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20</w:t>
            </w:r>
          </w:p>
        </w:tc>
      </w:tr>
      <w:tr>
        <w:trPr>
          <w:trHeight w:val="756"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1.7.</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dzīvojamās telpu grupas (dzīvoklis) vai nedzīvojamās telpu grupas (piemēram, garāža)</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30</w:t>
            </w:r>
          </w:p>
        </w:tc>
      </w:tr>
      <w:tr>
        <w:trPr>
          <w:trHeight w:val="373"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1.8.</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Cs/>
                <w:sz w:val="24"/>
                <w:szCs w:val="24"/>
              </w:rPr>
            </w:pPr>
            <w:r>
              <w:rPr>
                <w:rFonts w:cs="Times New Roman" w:ascii="Times New Roman" w:hAnsi="Times New Roman"/>
                <w:bCs/>
                <w:sz w:val="24"/>
                <w:szCs w:val="24"/>
              </w:rPr>
              <w:t>Inženierbūves – ceļa, laukumu, inženiertīklu u.c. vērtības novērtēšana</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10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sz w:val="24"/>
                <w:szCs w:val="24"/>
              </w:rPr>
            </w:pPr>
            <w:r>
              <w:rPr>
                <w:rFonts w:cs="Times New Roman" w:ascii="Times New Roman" w:hAnsi="Times New Roman"/>
                <w:b/>
                <w:sz w:val="24"/>
                <w:szCs w:val="24"/>
              </w:rPr>
              <w:t>2.</w:t>
            </w:r>
          </w:p>
        </w:tc>
        <w:tc>
          <w:tcPr>
            <w:tcW w:w="879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color w:val="000000" w:themeColor="text1"/>
                <w:sz w:val="24"/>
                <w:szCs w:val="24"/>
              </w:rPr>
            </w:pPr>
            <w:r>
              <w:rPr>
                <w:rFonts w:cs="Times New Roman" w:ascii="Times New Roman" w:hAnsi="Times New Roman"/>
                <w:b/>
                <w:bCs/>
                <w:color w:val="000000" w:themeColor="text1"/>
                <w:sz w:val="24"/>
                <w:szCs w:val="24"/>
              </w:rPr>
              <w:t>Nekustamā īpašuma nomas un apbūves tiesību maksas tirgus vērtības noteikšana</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2.1.</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Neapbūvētas zemes vienības nomas maksas tirgus vērtības noteikšana izziņas veidā, bez apsekošanas dabā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50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2.2.</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Ēku (būvju) nomas maksas tirgus vērtības noteikšana izziņas veidā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30</w:t>
            </w:r>
          </w:p>
        </w:tc>
      </w:tr>
      <w:tr>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2.3.</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līdz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40</w:t>
            </w:r>
          </w:p>
        </w:tc>
      </w:tr>
      <w:tr>
        <w:trPr>
          <w:trHeight w:val="827"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2.4.</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virs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40</w:t>
            </w:r>
          </w:p>
        </w:tc>
      </w:tr>
      <w:tr>
        <w:trPr>
          <w:trHeight w:val="585"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3.</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Nekustamā īpašuma vērtējums ieguldīšanai kapitālsabiedrības pamatkapitālā vai biznesa vērtējums</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20</w:t>
            </w:r>
          </w:p>
        </w:tc>
      </w:tr>
      <w:tr>
        <w:trPr>
          <w:trHeight w:val="481" w:hRule="atLeast"/>
        </w:trPr>
        <w:tc>
          <w:tcPr>
            <w:tcW w:w="9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4.</w:t>
            </w:r>
          </w:p>
        </w:tc>
        <w:tc>
          <w:tcPr>
            <w:tcW w:w="55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Apbūves tiesību maksas vērtējuma noteikšana izziņas veidā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20"/>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10</w:t>
            </w:r>
          </w:p>
        </w:tc>
      </w:tr>
      <w:tr>
        <w:trPr>
          <w:trHeight w:val="158" w:hRule="atLeast"/>
        </w:trPr>
        <w:tc>
          <w:tcPr>
            <w:tcW w:w="65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Kopā:</w:t>
            </w:r>
          </w:p>
        </w:tc>
        <w:tc>
          <w:tcPr>
            <w:tcW w:w="32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360" w:hanging="0"/>
              <w:jc w:val="center"/>
              <w:rPr>
                <w:rFonts w:ascii="Times New Roman" w:hAnsi="Times New Roman"/>
                <w:b/>
                <w:b/>
                <w:color w:val="000000" w:themeColor="text1"/>
                <w:szCs w:val="24"/>
              </w:rPr>
            </w:pPr>
            <w:r>
              <w:rPr>
                <w:rFonts w:ascii="Times New Roman" w:hAnsi="Times New Roman"/>
                <w:b/>
                <w:color w:val="000000" w:themeColor="text1"/>
                <w:szCs w:val="24"/>
              </w:rPr>
              <w:t>345</w:t>
            </w:r>
          </w:p>
        </w:tc>
      </w:tr>
    </w:tbl>
    <w:p>
      <w:pPr>
        <w:pStyle w:val="Normal"/>
        <w:spacing w:lineRule="auto" w:line="259"/>
        <w:jc w:val="both"/>
        <w:rPr>
          <w:color w:val="000000" w:themeColor="text1"/>
        </w:rPr>
      </w:pPr>
      <w:r>
        <w:rPr>
          <w:color w:val="000000" w:themeColor="text1"/>
        </w:rPr>
      </w:r>
    </w:p>
    <w:p>
      <w:pPr>
        <w:pStyle w:val="ListParagraph"/>
        <w:numPr>
          <w:ilvl w:val="2"/>
          <w:numId w:val="14"/>
        </w:numPr>
        <w:spacing w:lineRule="auto" w:line="259"/>
        <w:ind w:left="426" w:hanging="710"/>
        <w:jc w:val="both"/>
        <w:rPr>
          <w:rFonts w:ascii="Times New Roman" w:hAnsi="Times New Roman"/>
          <w:color w:val="000000" w:themeColor="text1"/>
          <w:szCs w:val="24"/>
          <w:lang w:eastAsia="en-US"/>
        </w:rPr>
      </w:pPr>
      <w:r>
        <w:rPr>
          <w:rFonts w:ascii="Times New Roman" w:hAnsi="Times New Roman"/>
          <w:color w:val="000000" w:themeColor="text1"/>
          <w:szCs w:val="24"/>
          <w:lang w:eastAsia="en-US"/>
        </w:rPr>
        <w:t xml:space="preserve">Kritēriju novērtēšanai, aizpildot vērtēšanas tabulu, piešķir novērtējuma punktus attiecīgajam kritērijam noteiktās skaitliskās vērtības robežās atbilstoši Saimnieciski visizdevīgākā piedāvājuma noteikšanas kārtības metodikai. Ņemot vērā veikto novērtējumu katram kritērijam, rezultātā katram kritērijam tiek aprēķināta vidējā aritmētiskā vērtība. </w:t>
      </w:r>
    </w:p>
    <w:p>
      <w:pPr>
        <w:pStyle w:val="ListParagraph"/>
        <w:numPr>
          <w:ilvl w:val="2"/>
          <w:numId w:val="14"/>
        </w:numPr>
        <w:spacing w:lineRule="auto" w:line="259"/>
        <w:ind w:left="426" w:hanging="710"/>
        <w:jc w:val="both"/>
        <w:rPr>
          <w:rFonts w:ascii="Times New Roman" w:hAnsi="Times New Roman"/>
          <w:color w:val="000000" w:themeColor="text1"/>
          <w:szCs w:val="24"/>
          <w:lang w:eastAsia="en-US"/>
        </w:rPr>
      </w:pPr>
      <w:r>
        <w:rPr>
          <w:rFonts w:ascii="Times New Roman" w:hAnsi="Times New Roman"/>
          <w:color w:val="000000" w:themeColor="text1"/>
        </w:rPr>
        <w:t>No piedāvājumiem, kas atbilst iepirkuma  nolikuma prasībām, Komisija izvēlēsies saimnieciski visizdevīgāko piedāvājumu, kurš saņems vislielāko punktu skaitu, kas tiek aprēķināts saskaņā ar tabulā norādītajiem vērtēšanas kritērijiem un punktu skalu:</w:t>
      </w:r>
    </w:p>
    <w:p>
      <w:pPr>
        <w:pStyle w:val="ListParagraph"/>
        <w:ind w:left="1134" w:hanging="0"/>
        <w:jc w:val="both"/>
        <w:rPr>
          <w:rFonts w:ascii="Times New Roman" w:hAnsi="Times New Roman"/>
          <w:color w:val="000000" w:themeColor="text1"/>
        </w:rPr>
      </w:pPr>
      <w:r>
        <w:rPr>
          <w:rFonts w:ascii="Times New Roman" w:hAnsi="Times New Roman"/>
          <w:color w:val="000000" w:themeColor="text1"/>
        </w:rPr>
        <w:t>Maksimālais punktu skaits tiek piešķirts pretendentam, kurš piedāvājis zemāko cenu. Attiecīgi pārējiem pretendentiem punkti tiek piešķirti, ievērojot proporcionalitātes principu, punktu skaitu aprēķinot pēc formulas:</w:t>
      </w:r>
    </w:p>
    <w:p>
      <w:pPr>
        <w:pStyle w:val="Normal"/>
        <w:numPr>
          <w:ilvl w:val="1"/>
          <w:numId w:val="24"/>
        </w:numPr>
        <w:spacing w:lineRule="auto" w:line="259"/>
        <w:ind w:left="1134" w:hanging="0"/>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C= C</w:t>
      </w:r>
      <w:r>
        <w:rPr>
          <w:rFonts w:cs="Times New Roman" w:ascii="Times New Roman" w:hAnsi="Times New Roman"/>
          <w:color w:val="000000" w:themeColor="text1"/>
          <w:sz w:val="24"/>
          <w:szCs w:val="24"/>
          <w:vertAlign w:val="subscript"/>
          <w:lang w:eastAsia="en-US"/>
        </w:rPr>
        <w:t>min</w:t>
      </w:r>
      <w:r>
        <w:rPr>
          <w:rFonts w:cs="Times New Roman" w:ascii="Times New Roman" w:hAnsi="Times New Roman"/>
          <w:color w:val="000000" w:themeColor="text1"/>
          <w:sz w:val="24"/>
          <w:szCs w:val="24"/>
          <w:lang w:eastAsia="en-US"/>
        </w:rPr>
        <w:t>/C</w:t>
      </w:r>
      <w:r>
        <w:rPr>
          <w:rFonts w:cs="Times New Roman" w:ascii="Times New Roman" w:hAnsi="Times New Roman"/>
          <w:color w:val="000000" w:themeColor="text1"/>
          <w:sz w:val="24"/>
          <w:szCs w:val="24"/>
          <w:vertAlign w:val="subscript"/>
          <w:lang w:eastAsia="en-US"/>
        </w:rPr>
        <w:t>pied</w:t>
      </w:r>
      <w:r>
        <w:rPr>
          <w:rFonts w:cs="Times New Roman" w:ascii="Times New Roman" w:hAnsi="Times New Roman"/>
          <w:color w:val="000000" w:themeColor="text1"/>
          <w:sz w:val="24"/>
          <w:szCs w:val="24"/>
          <w:lang w:eastAsia="en-US"/>
        </w:rPr>
        <w:t xml:space="preserve"> x </w:t>
      </w:r>
      <w:r>
        <w:rPr>
          <w:rFonts w:cs="Times New Roman" w:ascii="Times New Roman" w:hAnsi="Times New Roman"/>
          <w:i/>
          <w:color w:val="000000" w:themeColor="text1"/>
          <w:sz w:val="24"/>
          <w:szCs w:val="24"/>
          <w:lang w:eastAsia="en-US"/>
        </w:rPr>
        <w:t>norādītais maksimālais punktu skaits katrā no apakšpunktiem</w:t>
      </w:r>
      <w:r>
        <w:rPr>
          <w:rFonts w:cs="Times New Roman" w:ascii="Times New Roman" w:hAnsi="Times New Roman"/>
          <w:color w:val="000000" w:themeColor="text1"/>
          <w:sz w:val="24"/>
          <w:szCs w:val="24"/>
          <w:lang w:eastAsia="en-US"/>
        </w:rPr>
        <w:t>, kur</w:t>
      </w:r>
    </w:p>
    <w:p>
      <w:pPr>
        <w:pStyle w:val="Normal"/>
        <w:numPr>
          <w:ilvl w:val="1"/>
          <w:numId w:val="24"/>
        </w:numPr>
        <w:spacing w:lineRule="auto" w:line="259"/>
        <w:ind w:left="1134" w:hanging="0"/>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C – kritērija novērtējuma rezultāts;</w:t>
      </w:r>
    </w:p>
    <w:p>
      <w:pPr>
        <w:pStyle w:val="Normal"/>
        <w:numPr>
          <w:ilvl w:val="1"/>
          <w:numId w:val="24"/>
        </w:numPr>
        <w:spacing w:lineRule="auto" w:line="259"/>
        <w:ind w:left="1134" w:hanging="1134"/>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 xml:space="preserve">                   </w:t>
      </w:r>
      <w:r>
        <w:rPr>
          <w:rFonts w:cs="Times New Roman" w:ascii="Times New Roman" w:hAnsi="Times New Roman"/>
          <w:color w:val="000000" w:themeColor="text1"/>
          <w:sz w:val="24"/>
          <w:szCs w:val="24"/>
          <w:lang w:eastAsia="en-US"/>
        </w:rPr>
        <w:t>C</w:t>
      </w:r>
      <w:r>
        <w:rPr>
          <w:rFonts w:cs="Times New Roman" w:ascii="Times New Roman" w:hAnsi="Times New Roman"/>
          <w:color w:val="000000" w:themeColor="text1"/>
          <w:sz w:val="24"/>
          <w:szCs w:val="24"/>
          <w:vertAlign w:val="subscript"/>
          <w:lang w:eastAsia="en-US"/>
        </w:rPr>
        <w:t>min</w:t>
      </w:r>
      <w:r>
        <w:rPr>
          <w:rFonts w:cs="Times New Roman" w:ascii="Times New Roman" w:hAnsi="Times New Roman"/>
          <w:color w:val="000000" w:themeColor="text1"/>
          <w:sz w:val="24"/>
          <w:szCs w:val="24"/>
          <w:lang w:eastAsia="en-US"/>
        </w:rPr>
        <w:t xml:space="preserve">  – viszemākā piedāvātā cena;</w:t>
      </w:r>
    </w:p>
    <w:p>
      <w:pPr>
        <w:pStyle w:val="Normal"/>
        <w:numPr>
          <w:ilvl w:val="1"/>
          <w:numId w:val="24"/>
        </w:numPr>
        <w:spacing w:lineRule="auto" w:line="259"/>
        <w:ind w:left="1134" w:hanging="0"/>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C</w:t>
      </w:r>
      <w:r>
        <w:rPr>
          <w:rFonts w:cs="Times New Roman" w:ascii="Times New Roman" w:hAnsi="Times New Roman"/>
          <w:color w:val="000000" w:themeColor="text1"/>
          <w:sz w:val="24"/>
          <w:szCs w:val="24"/>
          <w:vertAlign w:val="subscript"/>
          <w:lang w:eastAsia="en-US"/>
        </w:rPr>
        <w:t>pied</w:t>
      </w:r>
      <w:r>
        <w:rPr>
          <w:rFonts w:cs="Times New Roman" w:ascii="Times New Roman" w:hAnsi="Times New Roman"/>
          <w:color w:val="000000" w:themeColor="text1"/>
          <w:sz w:val="24"/>
          <w:szCs w:val="24"/>
          <w:lang w:eastAsia="en-US"/>
        </w:rPr>
        <w:t xml:space="preserve">  – vērtējamā piedāvātā cena;</w:t>
      </w:r>
    </w:p>
    <w:p>
      <w:pPr>
        <w:pStyle w:val="Normal"/>
        <w:numPr>
          <w:ilvl w:val="1"/>
          <w:numId w:val="24"/>
        </w:numPr>
        <w:spacing w:lineRule="auto" w:line="259"/>
        <w:ind w:left="1134" w:hanging="0"/>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t>Norādītais maksimālais punktu skaits katrā no apakšpunktiem (5-50 punkti) – kritērijam maksimālais noteiktais iegūstamo punktu skaits.</w:t>
      </w:r>
    </w:p>
    <w:p>
      <w:pPr>
        <w:pStyle w:val="Normal"/>
        <w:numPr>
          <w:ilvl w:val="1"/>
          <w:numId w:val="24"/>
        </w:numPr>
        <w:spacing w:lineRule="auto" w:line="259"/>
        <w:ind w:left="1276" w:hanging="0"/>
        <w:jc w:val="both"/>
        <w:rPr>
          <w:rFonts w:ascii="Times New Roman" w:hAnsi="Times New Roman" w:cs="Times New Roman"/>
          <w:color w:val="000000" w:themeColor="text1"/>
          <w:sz w:val="24"/>
          <w:szCs w:val="24"/>
          <w:lang w:eastAsia="en-US"/>
        </w:rPr>
      </w:pPr>
      <w:r>
        <w:rPr>
          <w:rFonts w:cs="Times New Roman" w:ascii="Times New Roman" w:hAnsi="Times New Roman"/>
          <w:color w:val="000000" w:themeColor="text1"/>
          <w:sz w:val="24"/>
          <w:szCs w:val="24"/>
          <w:lang w:eastAsia="en-US"/>
        </w:rPr>
      </w:r>
    </w:p>
    <w:p>
      <w:pPr>
        <w:pStyle w:val="ListParagraph"/>
        <w:ind w:left="0" w:hanging="0"/>
        <w:jc w:val="both"/>
        <w:rPr>
          <w:rFonts w:ascii="Times New Roman" w:hAnsi="Times New Roman"/>
          <w:b/>
          <w:b/>
          <w:color w:val="000000" w:themeColor="text1"/>
          <w:szCs w:val="24"/>
        </w:rPr>
      </w:pPr>
      <w:r>
        <w:rPr>
          <w:rFonts w:ascii="Times New Roman" w:hAnsi="Times New Roman"/>
          <w:b/>
          <w:color w:val="000000" w:themeColor="text1"/>
          <w:szCs w:val="24"/>
        </w:rPr>
        <w:t>9.2.  Lēmuma pieņemšana par pretendentu, kuram būtu piešķiramas iepirkuma līguma slēgšanas tiesības</w:t>
      </w:r>
    </w:p>
    <w:p>
      <w:pPr>
        <w:pStyle w:val="ListParagraph"/>
        <w:numPr>
          <w:ilvl w:val="2"/>
          <w:numId w:val="15"/>
        </w:numPr>
        <w:ind w:left="709" w:hanging="720"/>
        <w:jc w:val="both"/>
        <w:rPr>
          <w:rFonts w:ascii="Times New Roman" w:hAnsi="Times New Roman"/>
          <w:b/>
          <w:b/>
          <w:color w:val="000000" w:themeColor="text1"/>
          <w:szCs w:val="24"/>
        </w:rPr>
      </w:pPr>
      <w:r>
        <w:rPr>
          <w:rFonts w:ascii="Times New Roman" w:hAnsi="Times New Roman"/>
          <w:color w:val="000000" w:themeColor="text1"/>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p>
    <w:p>
      <w:pPr>
        <w:pStyle w:val="ListParagraph"/>
        <w:numPr>
          <w:ilvl w:val="2"/>
          <w:numId w:val="15"/>
        </w:numPr>
        <w:ind w:left="709" w:hanging="720"/>
        <w:jc w:val="both"/>
        <w:rPr>
          <w:rFonts w:ascii="Times New Roman" w:hAnsi="Times New Roman"/>
          <w:color w:val="000000" w:themeColor="text1"/>
          <w:szCs w:val="24"/>
        </w:rPr>
      </w:pPr>
      <w:r>
        <w:rPr>
          <w:rFonts w:ascii="Times New Roman" w:hAnsi="Times New Roman"/>
          <w:color w:val="000000" w:themeColor="text1"/>
        </w:rPr>
        <w:t>Par saimnieciski visizdevīgāko tiks atzīts piedāvājums, kurš summā ieguvis vislielāko punktu skaitu.</w:t>
      </w:r>
    </w:p>
    <w:p>
      <w:pPr>
        <w:pStyle w:val="ListParagraph"/>
        <w:numPr>
          <w:ilvl w:val="2"/>
          <w:numId w:val="15"/>
        </w:numPr>
        <w:ind w:left="709" w:hanging="720"/>
        <w:jc w:val="both"/>
        <w:rPr>
          <w:rFonts w:ascii="Times New Roman" w:hAnsi="Times New Roman"/>
          <w:b/>
          <w:b/>
          <w:color w:val="000000" w:themeColor="text1"/>
          <w:szCs w:val="24"/>
        </w:rPr>
      </w:pPr>
      <w:r>
        <w:rPr>
          <w:rFonts w:ascii="Times New Roman" w:hAnsi="Times New Roman"/>
          <w:color w:val="000000" w:themeColor="text1"/>
        </w:rPr>
        <w:t>Ja Komisija konstatē, ka divu pretendentu iesniegtie piedāvājumi iegūst vienādu kopējo punktu skaitu, tad par saimnieciski visizdevīgāko tiek atzīts piedāvājums, kurš ieguvis vislielāko punktu skaitu Novērtējuma objekta tabulā 2.1.punktā “</w:t>
      </w:r>
      <w:r>
        <w:rPr>
          <w:rFonts w:ascii="Times New Roman" w:hAnsi="Times New Roman"/>
          <w:color w:val="000000" w:themeColor="text1"/>
          <w:szCs w:val="24"/>
        </w:rPr>
        <w:t>Neapbūvētas zemes vienības nomas maksas tirgus vērtības noteikšana</w:t>
      </w:r>
      <w:r>
        <w:rPr>
          <w:rFonts w:ascii="Times New Roman" w:hAnsi="Times New Roman"/>
          <w:bCs/>
          <w:color w:val="000000" w:themeColor="text1"/>
          <w:szCs w:val="24"/>
        </w:rPr>
        <w:t>”.</w:t>
      </w:r>
    </w:p>
    <w:p>
      <w:pPr>
        <w:pStyle w:val="ListParagraph"/>
        <w:numPr>
          <w:ilvl w:val="2"/>
          <w:numId w:val="15"/>
        </w:numPr>
        <w:ind w:left="709" w:hanging="720"/>
        <w:jc w:val="both"/>
        <w:rPr>
          <w:rFonts w:ascii="Times New Roman" w:hAnsi="Times New Roman"/>
          <w:b/>
          <w:b/>
          <w:color w:val="000000" w:themeColor="text1"/>
          <w:szCs w:val="24"/>
        </w:rPr>
      </w:pPr>
      <w:r>
        <w:rPr>
          <w:rFonts w:ascii="Times New Roman" w:hAnsi="Times New Roman"/>
          <w:color w:val="000000" w:themeColor="text1"/>
        </w:rPr>
        <w:t>Ja vairāku Pretendentu iesniegtie piedāvājumi iegūst vienādu kopējo punktu skaitu  Novērtējuma objektu tabulā  2.1.punktā “</w:t>
      </w:r>
      <w:r>
        <w:rPr>
          <w:rFonts w:ascii="Times New Roman" w:hAnsi="Times New Roman"/>
          <w:color w:val="000000" w:themeColor="text1"/>
          <w:szCs w:val="24"/>
        </w:rPr>
        <w:t>Neapbūvētas zemes vienības nomas maksas tirgus vērtības noteikšana</w:t>
      </w:r>
      <w:r>
        <w:rPr>
          <w:rFonts w:ascii="Times New Roman" w:hAnsi="Times New Roman"/>
          <w:bCs/>
          <w:color w:val="000000" w:themeColor="text1"/>
          <w:szCs w:val="24"/>
        </w:rPr>
        <w:t>”</w:t>
      </w:r>
      <w:r>
        <w:rPr>
          <w:rFonts w:ascii="Times New Roman" w:hAnsi="Times New Roman"/>
          <w:color w:val="000000" w:themeColor="text1"/>
        </w:rPr>
        <w:t>, par saimnieciski visizdevīgāko tiek atzīts piedāvājums, kurš ieguvis vislielāko punktu Novērtējuma objekta tabulā 2.3.punktā “</w:t>
      </w:r>
      <w:r>
        <w:rPr>
          <w:rFonts w:ascii="Times New Roman" w:hAnsi="Times New Roman"/>
          <w:color w:val="000000" w:themeColor="text1"/>
          <w:szCs w:val="24"/>
        </w:rPr>
        <w:t>Nedzīvojamo telpu un / vai palīgēku ar platību līdz 50 m</w:t>
      </w:r>
      <w:r>
        <w:rPr>
          <w:rFonts w:ascii="Times New Roman" w:hAnsi="Times New Roman"/>
          <w:color w:val="000000" w:themeColor="text1"/>
          <w:szCs w:val="24"/>
          <w:vertAlign w:val="superscript"/>
        </w:rPr>
        <w:t>2</w:t>
      </w:r>
      <w:r>
        <w:rPr>
          <w:rFonts w:ascii="Times New Roman" w:hAnsi="Times New Roman"/>
          <w:color w:val="000000" w:themeColor="text1"/>
          <w:szCs w:val="24"/>
        </w:rPr>
        <w:t xml:space="preserve"> nomas maksas tirgus vērtības noteikšana izziņas veidā” vai 2.4.punktā “Nedzīvojamo telpu un / vai palīgēku ar platību virs 50 m</w:t>
      </w:r>
      <w:r>
        <w:rPr>
          <w:rFonts w:ascii="Times New Roman" w:hAnsi="Times New Roman"/>
          <w:color w:val="000000" w:themeColor="text1"/>
          <w:szCs w:val="24"/>
          <w:vertAlign w:val="superscript"/>
        </w:rPr>
        <w:t>2</w:t>
      </w:r>
      <w:r>
        <w:rPr>
          <w:rFonts w:ascii="Times New Roman" w:hAnsi="Times New Roman"/>
          <w:color w:val="000000" w:themeColor="text1"/>
          <w:szCs w:val="24"/>
        </w:rPr>
        <w:t xml:space="preserve"> nomas maksas tirgus vērtības noteikšana izziņas veidā”.</w:t>
      </w:r>
    </w:p>
    <w:p>
      <w:pPr>
        <w:pStyle w:val="ListParagraph"/>
        <w:ind w:left="709" w:hanging="0"/>
        <w:jc w:val="both"/>
        <w:rPr>
          <w:rFonts w:ascii="Times New Roman" w:hAnsi="Times New Roman"/>
          <w:b/>
          <w:b/>
          <w:szCs w:val="24"/>
          <w:highlight w:val="yellow"/>
        </w:rPr>
      </w:pPr>
      <w:r>
        <w:rPr>
          <w:rFonts w:ascii="Times New Roman" w:hAnsi="Times New Roman"/>
          <w:b/>
          <w:szCs w:val="24"/>
          <w:highlight w:val="yellow"/>
        </w:rPr>
      </w:r>
    </w:p>
    <w:p>
      <w:pPr>
        <w:pStyle w:val="Normal"/>
        <w:tabs>
          <w:tab w:val="clear" w:pos="567"/>
          <w:tab w:val="left" w:pos="851" w:leader="none"/>
        </w:tabs>
        <w:jc w:val="center"/>
        <w:rPr>
          <w:rFonts w:ascii="Times New Roman" w:hAnsi="Times New Roman" w:cs="Times New Roman"/>
          <w:b/>
          <w:b/>
          <w:sz w:val="24"/>
          <w:szCs w:val="24"/>
        </w:rPr>
      </w:pPr>
      <w:r>
        <w:rPr>
          <w:rFonts w:cs="Times New Roman" w:ascii="Times New Roman" w:hAnsi="Times New Roman"/>
          <w:b/>
          <w:sz w:val="24"/>
          <w:szCs w:val="24"/>
        </w:rPr>
        <w:t>X. PRETENDENTU IZSLĒGŠANAS NOTEIKUMI</w:t>
      </w:r>
    </w:p>
    <w:p>
      <w:pPr>
        <w:pStyle w:val="Normal"/>
        <w:ind w:left="709" w:hanging="0"/>
        <w:jc w:val="both"/>
        <w:rPr>
          <w:rFonts w:ascii="Times New Roman" w:hAnsi="Times New Roman" w:cs="Times New Roman"/>
          <w:b/>
          <w:b/>
          <w:sz w:val="24"/>
          <w:szCs w:val="24"/>
        </w:rPr>
      </w:pPr>
      <w:r>
        <w:rPr>
          <w:rFonts w:cs="Times New Roman" w:ascii="Times New Roman" w:hAnsi="Times New Roman"/>
          <w:b/>
          <w:sz w:val="24"/>
          <w:szCs w:val="24"/>
        </w:rPr>
      </w:r>
    </w:p>
    <w:p>
      <w:pPr>
        <w:pStyle w:val="Tv2131"/>
        <w:spacing w:lineRule="auto" w:line="240"/>
        <w:ind w:left="567" w:hanging="567"/>
        <w:jc w:val="both"/>
        <w:rPr>
          <w:color w:val="auto"/>
          <w:sz w:val="24"/>
          <w:szCs w:val="24"/>
        </w:rPr>
      </w:pPr>
      <w:r>
        <w:rPr>
          <w:color w:val="auto"/>
          <w:sz w:val="24"/>
          <w:szCs w:val="24"/>
        </w:rPr>
        <w:t>10.1. Attiecībā uz Komisijas apstiprināto pretendentu, kuram būtu piešķiramas iepirkuma līguma   slēgšanas tiesības, Komisija veic pārbaudi, vai minētais pretendents nav izslēdzams no dalības iepirkumā.</w:t>
      </w:r>
    </w:p>
    <w:p>
      <w:pPr>
        <w:pStyle w:val="Tv2131"/>
        <w:spacing w:lineRule="auto" w:line="240"/>
        <w:ind w:left="567" w:hanging="567"/>
        <w:jc w:val="both"/>
        <w:rPr>
          <w:color w:val="auto"/>
          <w:sz w:val="24"/>
          <w:szCs w:val="24"/>
        </w:rPr>
      </w:pPr>
      <w:r>
        <w:rPr>
          <w:color w:val="auto"/>
          <w:sz w:val="24"/>
          <w:szCs w:val="24"/>
        </w:rPr>
        <w:t xml:space="preserve">10.2. </w:t>
      </w:r>
      <w:r>
        <w:rPr>
          <w:color w:val="000000" w:themeColor="text1"/>
          <w:sz w:val="24"/>
          <w:szCs w:val="24"/>
        </w:rPr>
        <w:t xml:space="preserve">Pārbaude veicama atbilstoši Publisko iepirkumu likuma 9. panta </w:t>
      </w:r>
      <w:r>
        <w:rPr>
          <w:color w:val="000000" w:themeColor="text1"/>
          <w:sz w:val="24"/>
          <w:szCs w:val="24"/>
          <w:u w:val="single"/>
        </w:rPr>
        <w:t>astotajā un devītajā</w:t>
      </w:r>
      <w:r>
        <w:rPr>
          <w:color w:val="000000" w:themeColor="text1"/>
          <w:sz w:val="24"/>
          <w:szCs w:val="24"/>
        </w:rPr>
        <w:t xml:space="preserve"> daļā noteiktajai kārtībai un atbilstoši Starptautisko un Latvijas Republikas nacionālo sankciju likuma 11.</w:t>
      </w:r>
      <w:r>
        <w:rPr>
          <w:color w:val="000000" w:themeColor="text1"/>
          <w:sz w:val="24"/>
          <w:szCs w:val="24"/>
          <w:vertAlign w:val="superscript"/>
        </w:rPr>
        <w:t>1</w:t>
      </w:r>
      <w:r>
        <w:rPr>
          <w:color w:val="000000" w:themeColor="text1"/>
          <w:sz w:val="24"/>
          <w:szCs w:val="24"/>
        </w:rPr>
        <w:t xml:space="preserve"> pirmās un otrās daļas regulējumam.</w:t>
      </w:r>
    </w:p>
    <w:p>
      <w:pPr>
        <w:pStyle w:val="Tv2131"/>
        <w:spacing w:lineRule="auto" w:line="240"/>
        <w:ind w:left="426" w:hanging="426"/>
        <w:jc w:val="both"/>
        <w:rPr>
          <w:color w:val="000000" w:themeColor="text1"/>
          <w:sz w:val="24"/>
          <w:szCs w:val="24"/>
        </w:rPr>
      </w:pPr>
      <w:r>
        <w:rPr>
          <w:color w:val="000000" w:themeColor="text1"/>
          <w:sz w:val="24"/>
          <w:szCs w:val="24"/>
        </w:rPr>
        <w:t>10.3. Komisija apstiprināto pretendentu, kuram būtu piešķiramas iepirkuma līguma slēgšanas tiesības, izslēdz no dalības iepirkumā saskaņā ar Publisko iepirkumu likuma 9. panta astotās daļas  izslēgšanas iemesliem.</w:t>
      </w:r>
    </w:p>
    <w:p>
      <w:pPr>
        <w:pStyle w:val="Tv2131"/>
        <w:spacing w:lineRule="auto" w:line="240"/>
        <w:ind w:left="567" w:hanging="567"/>
        <w:jc w:val="both"/>
        <w:rPr>
          <w:color w:val="000000" w:themeColor="text1"/>
          <w:sz w:val="24"/>
          <w:szCs w:val="24"/>
        </w:rPr>
      </w:pPr>
      <w:r>
        <w:rPr>
          <w:color w:val="000000" w:themeColor="text1"/>
          <w:sz w:val="24"/>
          <w:szCs w:val="24"/>
        </w:rPr>
        <w:t>10.4. Konstatējot Publisko iepirkumu likuma 9. panta astotās daļā minēto izslēgšanas iemeslu noteikto kārtību un Starptautisko un Latvijas Republikas nacionālo sankciju likums likuma 11.</w:t>
      </w:r>
      <w:r>
        <w:rPr>
          <w:color w:val="000000" w:themeColor="text1"/>
          <w:sz w:val="24"/>
          <w:szCs w:val="24"/>
          <w:vertAlign w:val="superscript"/>
        </w:rPr>
        <w:t>1</w:t>
      </w:r>
      <w:r>
        <w:rPr>
          <w:color w:val="000000" w:themeColor="text1"/>
          <w:sz w:val="24"/>
          <w:szCs w:val="24"/>
        </w:rPr>
        <w:t xml:space="preserve"> pirmajā un otrajā daļā minēto apstākļu esamību, pasūtītāja iepirkumu Komisija rīkojas saskaņā ar Publisko iepirkumu likuma 42.panta  </w:t>
      </w:r>
      <w:r>
        <w:rPr>
          <w:color w:val="000000" w:themeColor="text1"/>
          <w:sz w:val="24"/>
          <w:szCs w:val="24"/>
          <w:shd w:fill="FFFFFF" w:val="clear"/>
        </w:rPr>
        <w:t>ceturtās daļas 2. punktā un piektajā, sestajā un devītajā daļā minētajai kārtībai, kā arī ievērojot šā likuma </w:t>
      </w:r>
      <w:r>
        <w:fldChar w:fldCharType="begin"/>
      </w:r>
      <w:r>
        <w:rPr>
          <w:rStyle w:val="Hipersaite1"/>
          <w:sz w:val="24"/>
          <w:u w:val="none"/>
          <w:shd w:fill="FFFFFF" w:val="clear"/>
          <w:szCs w:val="24"/>
          <w:color w:val="000000"/>
        </w:rPr>
        <w:instrText xml:space="preserve"> HYPERLINK "https://likumi.lv/ta/id/287760" \l "p43"</w:instrText>
      </w:r>
      <w:r>
        <w:rPr>
          <w:rStyle w:val="Hipersaite1"/>
          <w:sz w:val="24"/>
          <w:u w:val="none"/>
          <w:shd w:fill="FFFFFF" w:val="clear"/>
          <w:szCs w:val="24"/>
          <w:color w:val="000000"/>
        </w:rPr>
        <w:fldChar w:fldCharType="separate"/>
      </w:r>
      <w:r>
        <w:rPr>
          <w:rStyle w:val="Hipersaite1"/>
          <w:color w:val="000000" w:themeColor="text1"/>
          <w:sz w:val="24"/>
          <w:szCs w:val="24"/>
          <w:u w:val="none"/>
          <w:shd w:fill="FFFFFF" w:val="clear"/>
        </w:rPr>
        <w:t>43.</w:t>
      </w:r>
      <w:r>
        <w:rPr>
          <w:rStyle w:val="Hipersaite1"/>
          <w:sz w:val="24"/>
          <w:u w:val="none"/>
          <w:shd w:fill="FFFFFF" w:val="clear"/>
          <w:szCs w:val="24"/>
          <w:color w:val="000000"/>
        </w:rPr>
        <w:fldChar w:fldCharType="end"/>
      </w:r>
      <w:r>
        <w:rPr>
          <w:color w:val="000000" w:themeColor="text1"/>
          <w:sz w:val="24"/>
          <w:szCs w:val="24"/>
          <w:shd w:fill="FFFFFF" w:val="clear"/>
        </w:rPr>
        <w:t> panta noteikumus</w:t>
      </w:r>
      <w:r>
        <w:rPr>
          <w:color w:val="000000" w:themeColor="text1"/>
          <w:sz w:val="24"/>
          <w:szCs w:val="24"/>
        </w:rPr>
        <w:t xml:space="preserve">. </w:t>
      </w:r>
    </w:p>
    <w:p>
      <w:pPr>
        <w:pStyle w:val="Normal"/>
        <w:jc w:val="both"/>
        <w:rPr>
          <w:rFonts w:ascii="Times New Roman" w:hAnsi="Times New Roman" w:cs="Times New Roman"/>
          <w:sz w:val="24"/>
          <w:szCs w:val="24"/>
          <w:highlight w:val="green"/>
        </w:rPr>
      </w:pPr>
      <w:r>
        <w:rPr>
          <w:rFonts w:cs="Times New Roman" w:ascii="Times New Roman" w:hAnsi="Times New Roman"/>
          <w:sz w:val="24"/>
          <w:szCs w:val="24"/>
          <w:highlight w:val="green"/>
        </w:rPr>
      </w:r>
    </w:p>
    <w:p>
      <w:pPr>
        <w:pStyle w:val="Virsraksts2"/>
        <w:numPr>
          <w:ilvl w:val="0"/>
          <w:numId w:val="25"/>
        </w:numPr>
        <w:tabs>
          <w:tab w:val="clear" w:pos="567"/>
          <w:tab w:val="left" w:pos="851" w:leader="none"/>
        </w:tabs>
        <w:jc w:val="center"/>
        <w:rPr>
          <w:sz w:val="24"/>
          <w:szCs w:val="24"/>
        </w:rPr>
      </w:pPr>
      <w:r>
        <w:rPr>
          <w:sz w:val="24"/>
          <w:szCs w:val="24"/>
        </w:rPr>
        <w:t>LĒMUMA PIEŅEMŠANAS UN PAZIŅOŠANAS KĀRTĪBA</w:t>
      </w:r>
    </w:p>
    <w:p>
      <w:pPr>
        <w:pStyle w:val="Normal"/>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NormalWeb"/>
        <w:numPr>
          <w:ilvl w:val="1"/>
          <w:numId w:val="16"/>
        </w:numPr>
        <w:tabs>
          <w:tab w:val="clear" w:pos="567"/>
          <w:tab w:val="left" w:pos="709" w:leader="none"/>
        </w:tabs>
        <w:spacing w:beforeAutospacing="0" w:before="0" w:afterAutospacing="0" w:after="0"/>
        <w:jc w:val="both"/>
        <w:rPr>
          <w:rFonts w:ascii="Times New Roman" w:hAnsi="Times New Roman"/>
          <w:b/>
          <w:b/>
          <w:lang w:val="lv-LV"/>
        </w:rPr>
      </w:pPr>
      <w:r>
        <w:rPr>
          <w:rFonts w:ascii="Times New Roman" w:hAnsi="Times New Roman"/>
          <w:b/>
          <w:lang w:val="lv-LV"/>
        </w:rPr>
        <w:t>Lēmuma pieņemšana iepirkumā</w:t>
      </w:r>
    </w:p>
    <w:p>
      <w:pPr>
        <w:pStyle w:val="NormalWeb"/>
        <w:numPr>
          <w:ilvl w:val="2"/>
          <w:numId w:val="16"/>
        </w:numPr>
        <w:tabs>
          <w:tab w:val="clear" w:pos="567"/>
          <w:tab w:val="left" w:pos="709" w:leader="none"/>
        </w:tabs>
        <w:spacing w:beforeAutospacing="0" w:before="0" w:afterAutospacing="0" w:after="0"/>
        <w:ind w:left="1428" w:hanging="1428"/>
        <w:jc w:val="both"/>
        <w:rPr>
          <w:rFonts w:ascii="Times New Roman" w:hAnsi="Times New Roman"/>
          <w:b/>
          <w:b/>
          <w:lang w:val="lv-LV"/>
        </w:rPr>
      </w:pPr>
      <w:r>
        <w:rPr>
          <w:rFonts w:ascii="Times New Roman" w:hAnsi="Times New Roman"/>
          <w:lang w:val="lv-LV"/>
        </w:rPr>
        <w:t>Komisija iepirkumā pieņem vienu no šādiem lēmumiem:</w:t>
      </w:r>
    </w:p>
    <w:p>
      <w:pPr>
        <w:pStyle w:val="NormalWeb"/>
        <w:numPr>
          <w:ilvl w:val="3"/>
          <w:numId w:val="16"/>
        </w:numPr>
        <w:tabs>
          <w:tab w:val="clear" w:pos="567"/>
          <w:tab w:val="left" w:pos="709" w:leader="none"/>
          <w:tab w:val="left" w:pos="1560" w:leader="none"/>
        </w:tabs>
        <w:spacing w:beforeAutospacing="0" w:before="0" w:afterAutospacing="0" w:after="0"/>
        <w:ind w:left="1418" w:hanging="862"/>
        <w:jc w:val="both"/>
        <w:rPr>
          <w:rFonts w:ascii="Times New Roman" w:hAnsi="Times New Roman"/>
          <w:b/>
          <w:b/>
          <w:lang w:val="lv-LV"/>
        </w:rPr>
      </w:pPr>
      <w:r>
        <w:rPr>
          <w:rFonts w:ascii="Times New Roman" w:hAnsi="Times New Roman"/>
          <w:lang w:val="lv-LV"/>
        </w:rPr>
        <w:t>noslēgt iepirkuma līgumu;</w:t>
      </w:r>
    </w:p>
    <w:p>
      <w:pPr>
        <w:pStyle w:val="NormalWeb"/>
        <w:numPr>
          <w:ilvl w:val="3"/>
          <w:numId w:val="16"/>
        </w:numPr>
        <w:tabs>
          <w:tab w:val="clear" w:pos="567"/>
          <w:tab w:val="left" w:pos="709" w:leader="none"/>
          <w:tab w:val="left" w:pos="1560" w:leader="none"/>
        </w:tabs>
        <w:spacing w:beforeAutospacing="0" w:before="0" w:afterAutospacing="0" w:after="0"/>
        <w:ind w:left="1418" w:hanging="862"/>
        <w:jc w:val="both"/>
        <w:rPr>
          <w:rFonts w:ascii="Times New Roman" w:hAnsi="Times New Roman"/>
          <w:b/>
          <w:b/>
          <w:lang w:val="lv-LV"/>
        </w:rPr>
      </w:pPr>
      <w:r>
        <w:rPr>
          <w:rFonts w:ascii="Times New Roman" w:hAnsi="Times New Roman"/>
          <w:lang w:val="lv-LV"/>
        </w:rPr>
        <w:t>izbeigt iepirkumu bez rezultāta, ja ir iestājies gadījums, kas minēts nolikuma 11.1.3. punktā;</w:t>
      </w:r>
    </w:p>
    <w:p>
      <w:pPr>
        <w:pStyle w:val="NormalWeb"/>
        <w:numPr>
          <w:ilvl w:val="3"/>
          <w:numId w:val="16"/>
        </w:numPr>
        <w:tabs>
          <w:tab w:val="clear" w:pos="567"/>
          <w:tab w:val="left" w:pos="709" w:leader="none"/>
          <w:tab w:val="left" w:pos="1560" w:leader="none"/>
        </w:tabs>
        <w:spacing w:beforeAutospacing="0" w:before="0" w:afterAutospacing="0" w:after="0"/>
        <w:ind w:left="1418" w:hanging="862"/>
        <w:jc w:val="both"/>
        <w:rPr>
          <w:rFonts w:ascii="Times New Roman" w:hAnsi="Times New Roman"/>
          <w:b/>
          <w:b/>
          <w:lang w:val="lv-LV"/>
        </w:rPr>
      </w:pPr>
      <w:r>
        <w:rPr>
          <w:rFonts w:ascii="Times New Roman" w:hAnsi="Times New Roman"/>
          <w:lang w:val="lv-LV"/>
        </w:rPr>
        <w:t>pārtraukt iepirkumu, ja ir iestājies gadījums, kas minēts nolikuma 11.1.4. punktā.</w:t>
      </w:r>
    </w:p>
    <w:p>
      <w:pPr>
        <w:pStyle w:val="NormalWeb"/>
        <w:numPr>
          <w:ilvl w:val="2"/>
          <w:numId w:val="16"/>
        </w:numPr>
        <w:tabs>
          <w:tab w:val="clear" w:pos="567"/>
          <w:tab w:val="left" w:pos="709" w:leader="none"/>
        </w:tabs>
        <w:spacing w:beforeAutospacing="0" w:before="0" w:afterAutospacing="0" w:after="0"/>
        <w:ind w:left="709" w:hanging="709"/>
        <w:jc w:val="both"/>
        <w:rPr>
          <w:rFonts w:ascii="Times New Roman" w:hAnsi="Times New Roman"/>
          <w:b/>
          <w:b/>
          <w:lang w:val="lv-LV"/>
        </w:rPr>
      </w:pPr>
      <w:r>
        <w:rPr>
          <w:rFonts w:ascii="Times New Roman" w:hAnsi="Times New Roman"/>
          <w:lang w:val="lv-LV"/>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un atbilstoši Starptautisko un Latvijas Republikas nacionālo sankciju likums likuma 11.1 pirmās un otrās daļas regulējumam no dalības iepirkumā. </w:t>
      </w:r>
      <w:r>
        <w:rPr>
          <w:rFonts w:ascii="Times New Roman" w:hAnsi="Times New Roman"/>
          <w:highlight w:val="darkRed"/>
          <w:lang w:val="lv-LV"/>
        </w:rPr>
        <w:t xml:space="preserve"> </w:t>
      </w:r>
    </w:p>
    <w:p>
      <w:pPr>
        <w:pStyle w:val="NormalWeb"/>
        <w:numPr>
          <w:ilvl w:val="2"/>
          <w:numId w:val="16"/>
        </w:numPr>
        <w:tabs>
          <w:tab w:val="clear" w:pos="567"/>
          <w:tab w:val="left" w:pos="709" w:leader="none"/>
        </w:tabs>
        <w:spacing w:beforeAutospacing="0" w:before="0" w:afterAutospacing="0" w:after="0"/>
        <w:ind w:left="709" w:hanging="709"/>
        <w:jc w:val="both"/>
        <w:rPr>
          <w:rFonts w:ascii="Times New Roman" w:hAnsi="Times New Roman"/>
          <w:b/>
          <w:b/>
          <w:lang w:val="lv-LV"/>
        </w:rPr>
      </w:pPr>
      <w:r>
        <w:rPr>
          <w:rFonts w:ascii="Times New Roman" w:hAnsi="Times New Roman"/>
          <w:lang w:val="lv-LV"/>
        </w:rPr>
        <w:t>Komisija pieņem lēmumu izbeigt iepirkumu bez rezultāta, ja ir iesniegti nolikumā noteiktajām prasībām neatbilstoši piedāvājumi vai ja vispār nav iesniegti piedāvājumi.</w:t>
      </w:r>
    </w:p>
    <w:p>
      <w:pPr>
        <w:pStyle w:val="NormalWeb"/>
        <w:numPr>
          <w:ilvl w:val="2"/>
          <w:numId w:val="16"/>
        </w:numPr>
        <w:tabs>
          <w:tab w:val="clear" w:pos="567"/>
          <w:tab w:val="left" w:pos="709" w:leader="none"/>
        </w:tabs>
        <w:spacing w:beforeAutospacing="0" w:before="0" w:afterAutospacing="0" w:after="0"/>
        <w:ind w:left="709" w:hanging="709"/>
        <w:jc w:val="both"/>
        <w:rPr>
          <w:rFonts w:ascii="Times New Roman" w:hAnsi="Times New Roman"/>
          <w:b/>
          <w:b/>
          <w:lang w:val="lv-LV"/>
        </w:rPr>
      </w:pPr>
      <w:bookmarkStart w:id="21" w:name="_Toc85448333"/>
      <w:bookmarkStart w:id="22" w:name="_Toc85449943"/>
      <w:bookmarkStart w:id="23" w:name="_Toc215625317"/>
      <w:r>
        <w:rPr>
          <w:rFonts w:ascii="Times New Roman" w:hAnsi="Times New Roman"/>
          <w:lang w:val="lv-LV"/>
        </w:rPr>
        <w:t xml:space="preserve">Komisija pieņem lēmumu pārtraukt iepirkumu nolikumā noteiktajos gadījumos, kā arī jebkurā brīdī, ja tam ir objektīvs pamatojums. </w:t>
      </w:r>
      <w:bookmarkEnd w:id="21"/>
      <w:bookmarkEnd w:id="22"/>
      <w:bookmarkEnd w:id="23"/>
    </w:p>
    <w:p>
      <w:pPr>
        <w:pStyle w:val="NormalWeb"/>
        <w:numPr>
          <w:ilvl w:val="2"/>
          <w:numId w:val="16"/>
        </w:numPr>
        <w:tabs>
          <w:tab w:val="clear" w:pos="567"/>
          <w:tab w:val="left" w:pos="709" w:leader="none"/>
        </w:tabs>
        <w:spacing w:beforeAutospacing="0" w:before="0" w:afterAutospacing="0" w:after="0"/>
        <w:ind w:left="709" w:hanging="709"/>
        <w:jc w:val="both"/>
        <w:rPr>
          <w:rFonts w:ascii="Times New Roman" w:hAnsi="Times New Roman"/>
          <w:b/>
          <w:b/>
          <w:lang w:val="lv-LV"/>
        </w:rPr>
      </w:pPr>
      <w:r>
        <w:rPr>
          <w:rFonts w:ascii="Times New Roman" w:hAnsi="Times New Roman"/>
          <w:lang w:val="lv-LV"/>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5">
        <w:r>
          <w:rPr>
            <w:rStyle w:val="Hipersaite1"/>
            <w:rFonts w:ascii="Times New Roman" w:hAnsi="Times New Roman"/>
            <w:color w:val="auto"/>
            <w:u w:val="none"/>
            <w:lang w:val="lv-LV"/>
          </w:rPr>
          <w:t>14. panta</w:t>
        </w:r>
      </w:hyperlink>
      <w:r>
        <w:rPr>
          <w:rFonts w:ascii="Times New Roman" w:hAnsi="Times New Roman"/>
          <w:lang w:val="lv-LV"/>
        </w:rPr>
        <w:t xml:space="preserve"> otrās daļas noteikumus, kā arī iepirkuma izbeigšanas bez rezultāta vai pārtraukšanas gadījumā – izbeigšanas vai pārtraukšanas pamatojumu.</w:t>
      </w:r>
    </w:p>
    <w:p>
      <w:pPr>
        <w:pStyle w:val="NormalWeb"/>
        <w:numPr>
          <w:ilvl w:val="2"/>
          <w:numId w:val="16"/>
        </w:numPr>
        <w:tabs>
          <w:tab w:val="clear" w:pos="567"/>
          <w:tab w:val="left" w:pos="709" w:leader="none"/>
        </w:tabs>
        <w:spacing w:beforeAutospacing="0" w:before="0" w:afterAutospacing="0" w:after="0"/>
        <w:ind w:left="709" w:hanging="709"/>
        <w:jc w:val="both"/>
        <w:rPr>
          <w:rFonts w:ascii="Times New Roman" w:hAnsi="Times New Roman"/>
          <w:b/>
          <w:b/>
          <w:lang w:val="lv-LV"/>
        </w:rPr>
      </w:pPr>
      <w:r>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pPr>
        <w:pStyle w:val="NormalWeb"/>
        <w:numPr>
          <w:ilvl w:val="1"/>
          <w:numId w:val="17"/>
        </w:numPr>
        <w:spacing w:beforeAutospacing="0" w:before="0" w:afterAutospacing="0" w:after="0"/>
        <w:jc w:val="both"/>
        <w:rPr>
          <w:rFonts w:ascii="Times New Roman" w:hAnsi="Times New Roman"/>
          <w:b/>
          <w:b/>
          <w:lang w:val="lv-LV"/>
        </w:rPr>
      </w:pPr>
      <w:r>
        <w:rPr>
          <w:rFonts w:ascii="Times New Roman" w:hAnsi="Times New Roman"/>
          <w:b/>
          <w:lang w:val="lv-LV"/>
        </w:rPr>
        <w:t xml:space="preserve"> </w:t>
      </w:r>
      <w:r>
        <w:rPr>
          <w:rFonts w:ascii="Times New Roman" w:hAnsi="Times New Roman"/>
          <w:b/>
          <w:lang w:val="lv-LV"/>
        </w:rPr>
        <w:t>Lēmuma paziņošanas kārtība</w:t>
      </w:r>
    </w:p>
    <w:p>
      <w:pPr>
        <w:pStyle w:val="NormalWeb"/>
        <w:keepLines/>
        <w:numPr>
          <w:ilvl w:val="2"/>
          <w:numId w:val="17"/>
        </w:numPr>
        <w:tabs>
          <w:tab w:val="clear" w:pos="567"/>
          <w:tab w:val="left" w:pos="851" w:leader="none"/>
        </w:tabs>
        <w:spacing w:beforeAutospacing="0" w:before="0" w:afterAutospacing="0" w:after="0"/>
        <w:jc w:val="both"/>
        <w:rPr>
          <w:rFonts w:ascii="Times New Roman" w:hAnsi="Times New Roman"/>
          <w:lang w:val="lv-LV"/>
        </w:rPr>
      </w:pPr>
      <w:r>
        <w:rPr>
          <w:rFonts w:ascii="Times New Roman" w:hAnsi="Times New Roman"/>
          <w:lang w:val="lv-LV"/>
        </w:rPr>
        <w:t>Pēc lēmuma pieņemšanas par iepirkuma līguma slēgšanas tiesību piešķiršanu komisija 3 (trīs) darbdienu laikā informē visus pretendentus par iepirkumā izraudzīto pretendentu un nosūta tiem nolikuma 11.1.5. punktā minēto lēmumu, kā arī pasūtītāja pircēja profilā  nodrošina brīvu un tiešu elektronisku piekļuvi minētajam lēmumam.</w:t>
      </w:r>
    </w:p>
    <w:p>
      <w:pPr>
        <w:pStyle w:val="NormalWeb"/>
        <w:keepLines/>
        <w:numPr>
          <w:ilvl w:val="2"/>
          <w:numId w:val="17"/>
        </w:numPr>
        <w:tabs>
          <w:tab w:val="clear" w:pos="567"/>
          <w:tab w:val="left" w:pos="851" w:leader="none"/>
        </w:tabs>
        <w:spacing w:beforeAutospacing="0" w:before="0" w:afterAutospacing="0" w:after="0"/>
        <w:jc w:val="both"/>
        <w:rPr>
          <w:rFonts w:ascii="Times New Roman" w:hAnsi="Times New Roman"/>
          <w:lang w:val="lv-LV"/>
        </w:rPr>
      </w:pPr>
      <w:r>
        <w:rPr>
          <w:rFonts w:ascii="Times New Roman" w:hAnsi="Times New Roman"/>
          <w:lang w:val="lv-LV"/>
        </w:rPr>
        <w:t>Ja iepirkums tiek izbeigts bez rezultāta vai pārtraukts, Komisija 3 (trīs) darbdienu laikā pēc lēmuma pieņemšanas par iepirkuma izbeigšanu vai pārtraukšanu informē visus pretendentus, kas iesnieguši piedāvājumu, par pieņemto lēmumu un nosūta tiem nolikuma 11.1.5. punktā minēto lēmumu, kā arī pasūtītāja pircēja profilā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paziņojumam par plānoto līgumu).</w:t>
      </w:r>
    </w:p>
    <w:p>
      <w:pPr>
        <w:pStyle w:val="NormalWeb"/>
        <w:keepLines/>
        <w:numPr>
          <w:ilvl w:val="2"/>
          <w:numId w:val="17"/>
        </w:numPr>
        <w:tabs>
          <w:tab w:val="clear" w:pos="567"/>
          <w:tab w:val="left" w:pos="851" w:leader="none"/>
        </w:tabs>
        <w:spacing w:beforeAutospacing="0" w:before="0" w:afterAutospacing="0" w:after="0"/>
        <w:ind w:left="709" w:hanging="709"/>
        <w:jc w:val="both"/>
        <w:rPr>
          <w:rFonts w:ascii="Times New Roman" w:hAnsi="Times New Roman"/>
          <w:lang w:val="lv-LV"/>
        </w:rPr>
      </w:pPr>
      <w:r>
        <w:rPr>
          <w:rFonts w:ascii="Times New Roman" w:hAnsi="Times New Roman"/>
          <w:lang w:val="lv-LV"/>
        </w:rPr>
        <w:t xml:space="preserve">Informāciju pretendentiem Komisija nosūta pa pastu, vai elektroniski, </w:t>
      </w:r>
      <w:r>
        <w:rPr>
          <w:rFonts w:ascii="Times New Roman" w:hAnsi="Times New Roman"/>
          <w:kern w:val="2"/>
          <w:lang w:val="lv-LV"/>
        </w:rPr>
        <w:t>izmantojot drošu elektronisko parakstu vai pievienojot elektroniskajam pastam skenētu dokumentu</w:t>
      </w:r>
      <w:r>
        <w:rPr>
          <w:rFonts w:ascii="Times New Roman" w:hAnsi="Times New Roman"/>
          <w:lang w:val="lv-LV"/>
        </w:rPr>
        <w:t>.</w:t>
      </w:r>
    </w:p>
    <w:p>
      <w:pPr>
        <w:pStyle w:val="NormalWeb"/>
        <w:keepLines/>
        <w:numPr>
          <w:ilvl w:val="1"/>
          <w:numId w:val="17"/>
        </w:numPr>
        <w:spacing w:beforeAutospacing="0" w:before="0" w:afterAutospacing="0" w:after="0"/>
        <w:ind w:left="709" w:hanging="709"/>
        <w:jc w:val="both"/>
        <w:rPr>
          <w:rFonts w:ascii="Times New Roman" w:hAnsi="Times New Roman"/>
          <w:lang w:val="lv-LV"/>
        </w:rPr>
      </w:pPr>
      <w:r>
        <w:rPr>
          <w:rFonts w:ascii="Times New Roman" w:hAnsi="Times New Roman"/>
          <w:lang w:val="lv-LV"/>
        </w:rPr>
        <w:t xml:space="preserve">Pretendents, kurš iesniedzis piedāvājumu iepirkumā, uz ko attiecas Publisko iepirkumu likuma 9. panta noteikumi, un kurš uzskata, ka ir aizskartas tā tiesības vai ir iespējams šo tiesību aizskārums, ir tiesīgs pārsūdzēt komisijas pieņemto lēmumu Administratīvajā rajona tiesā </w:t>
      </w:r>
      <w:hyperlink r:id="rId6" w:tgtFrame="_blank">
        <w:r>
          <w:rPr>
            <w:rStyle w:val="Hipersaite1"/>
            <w:rFonts w:ascii="Times New Roman" w:hAnsi="Times New Roman"/>
            <w:color w:val="auto"/>
            <w:u w:val="none"/>
            <w:lang w:val="lv-LV"/>
          </w:rPr>
          <w:t>Administratīvā procesa likumā</w:t>
        </w:r>
      </w:hyperlink>
      <w:r>
        <w:rPr>
          <w:rFonts w:ascii="Times New Roman" w:hAnsi="Times New Roman"/>
          <w:lang w:val="lv-LV"/>
        </w:rPr>
        <w:t xml:space="preserve"> noteiktajā kārtībā mēneša laikā no lēmuma saņemšanas dienas.</w:t>
      </w:r>
    </w:p>
    <w:p>
      <w:pPr>
        <w:pStyle w:val="NormalWeb"/>
        <w:keepLines/>
        <w:numPr>
          <w:ilvl w:val="0"/>
          <w:numId w:val="8"/>
        </w:numPr>
        <w:spacing w:beforeAutospacing="0" w:before="0" w:afterAutospacing="0" w:after="0"/>
        <w:jc w:val="center"/>
        <w:rPr>
          <w:rFonts w:ascii="Times New Roman" w:hAnsi="Times New Roman"/>
          <w:b/>
          <w:b/>
          <w:lang w:val="lv-LV"/>
        </w:rPr>
      </w:pPr>
      <w:r>
        <w:rPr>
          <w:rFonts w:ascii="Times New Roman" w:hAnsi="Times New Roman"/>
          <w:b/>
          <w:lang w:val="lv-LV"/>
        </w:rPr>
        <w:t>IEPIRKUMA LĪGUMA NOSLĒGŠANA UN IZPILDE</w:t>
      </w:r>
    </w:p>
    <w:p>
      <w:pPr>
        <w:pStyle w:val="NormalWeb"/>
        <w:spacing w:beforeAutospacing="0" w:before="0" w:afterAutospacing="0" w:after="0"/>
        <w:ind w:left="709" w:hanging="0"/>
        <w:rPr>
          <w:rFonts w:ascii="Times New Roman" w:hAnsi="Times New Roman"/>
          <w:b/>
          <w:b/>
          <w:lang w:val="lv-LV"/>
        </w:rPr>
      </w:pPr>
      <w:r>
        <w:rPr>
          <w:rFonts w:ascii="Times New Roman" w:hAnsi="Times New Roman"/>
          <w:b/>
          <w:lang w:val="lv-LV"/>
        </w:rPr>
      </w:r>
    </w:p>
    <w:p>
      <w:pPr>
        <w:pStyle w:val="ListParagraph"/>
        <w:numPr>
          <w:ilvl w:val="1"/>
          <w:numId w:val="26"/>
        </w:numPr>
        <w:ind w:left="709" w:hanging="709"/>
        <w:jc w:val="both"/>
        <w:rPr>
          <w:rFonts w:ascii="Times New Roman" w:hAnsi="Times New Roman"/>
          <w:szCs w:val="24"/>
        </w:rPr>
      </w:pPr>
      <w:r>
        <w:rPr>
          <w:rFonts w:ascii="Times New Roman" w:hAnsi="Times New Roman"/>
          <w:szCs w:val="24"/>
        </w:rPr>
        <w:t>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pPr>
        <w:pStyle w:val="ListParagraph"/>
        <w:numPr>
          <w:ilvl w:val="1"/>
          <w:numId w:val="26"/>
        </w:numPr>
        <w:ind w:left="709" w:hanging="709"/>
        <w:jc w:val="both"/>
        <w:rPr>
          <w:rFonts w:ascii="Times New Roman" w:hAnsi="Times New Roman"/>
          <w:szCs w:val="24"/>
        </w:rPr>
      </w:pPr>
      <w:r>
        <w:rPr>
          <w:rFonts w:ascii="Times New Roman" w:hAnsi="Times New Roman"/>
          <w:szCs w:val="24"/>
        </w:rPr>
        <w:t>Pretendentam, kuram piešķirtas tiesības slēgt iepirkuma līgumu, jāparaksta Komisijas sagatavotais iepirkuma līgums šī nolikuma 3. pielikuma “Iepirkuma līguma projekts” redakcijā ne vēlāk kā 10 (desmit) dienu laikā no pasūtītāja uzaicinājuma parakstīt iepirkuma līgumu nosūtīšanas dienas</w:t>
      </w:r>
      <w:r>
        <w:rPr>
          <w:rFonts w:ascii="Times New Roman" w:hAnsi="Times New Roman"/>
          <w:bCs/>
          <w:szCs w:val="24"/>
        </w:rPr>
        <w:t xml:space="preserve"> un </w:t>
      </w:r>
      <w:r>
        <w:rPr>
          <w:rFonts w:ascii="Times New Roman" w:hAnsi="Times New Roman"/>
          <w:szCs w:val="24"/>
        </w:rPr>
        <w:t>jāiesniedz pasūtītājam parakstīts iepirkuma līgums. Ja norādītajā termiņā iepirkuma uzvarētājs neiesniedz iepriekšminēto dokumentu, tas tiek uzskatīts par atteikumu slēgt iepirkuma līgumu.</w:t>
      </w:r>
    </w:p>
    <w:p>
      <w:pPr>
        <w:pStyle w:val="Normal"/>
        <w:numPr>
          <w:ilvl w:val="1"/>
          <w:numId w:val="26"/>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pPr>
        <w:pStyle w:val="Normal"/>
        <w:numPr>
          <w:ilvl w:val="1"/>
          <w:numId w:val="26"/>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pPr>
        <w:pStyle w:val="ListParagraph"/>
        <w:numPr>
          <w:ilvl w:val="2"/>
          <w:numId w:val="12"/>
        </w:numPr>
        <w:jc w:val="both"/>
        <w:rPr>
          <w:rFonts w:ascii="Times New Roman" w:hAnsi="Times New Roman"/>
          <w:szCs w:val="24"/>
        </w:rPr>
      </w:pPr>
      <w:r>
        <w:rPr>
          <w:rFonts w:ascii="Times New Roman" w:hAnsi="Times New Roman"/>
          <w:szCs w:val="24"/>
        </w:rPr>
        <w:t>atsakās slēgt iepirkuma līgumu;</w:t>
      </w:r>
    </w:p>
    <w:p>
      <w:pPr>
        <w:pStyle w:val="ListParagraph"/>
        <w:numPr>
          <w:ilvl w:val="2"/>
          <w:numId w:val="12"/>
        </w:numPr>
        <w:jc w:val="both"/>
        <w:rPr>
          <w:rFonts w:ascii="Times New Roman" w:hAnsi="Times New Roman"/>
          <w:szCs w:val="24"/>
        </w:rPr>
      </w:pPr>
      <w:r>
        <w:rPr>
          <w:rFonts w:ascii="Times New Roman" w:hAnsi="Times New Roman"/>
          <w:szCs w:val="24"/>
        </w:rPr>
        <w:t>neiesniedz pasūtītāja sagatavotos un no pretendenta puses parakstītus iepirkuma līguma eksemplārus;</w:t>
      </w:r>
    </w:p>
    <w:p>
      <w:pPr>
        <w:pStyle w:val="ListParagraph"/>
        <w:numPr>
          <w:ilvl w:val="2"/>
          <w:numId w:val="12"/>
        </w:numPr>
        <w:jc w:val="both"/>
        <w:rPr>
          <w:rFonts w:ascii="Times New Roman" w:hAnsi="Times New Roman"/>
          <w:szCs w:val="24"/>
        </w:rPr>
      </w:pPr>
      <w:r>
        <w:rPr>
          <w:rFonts w:ascii="Times New Roman" w:hAnsi="Times New Roman"/>
          <w:szCs w:val="24"/>
        </w:rPr>
        <w:t>nolikumā noteiktajā gadījumā atsakās slēgt sabiedrības līgumu vai nodibināt personālsabiedrību;</w:t>
      </w:r>
    </w:p>
    <w:p>
      <w:pPr>
        <w:pStyle w:val="ListParagraph"/>
        <w:numPr>
          <w:ilvl w:val="2"/>
          <w:numId w:val="12"/>
        </w:numPr>
        <w:jc w:val="both"/>
        <w:rPr>
          <w:rFonts w:ascii="Times New Roman" w:hAnsi="Times New Roman"/>
          <w:szCs w:val="24"/>
        </w:rPr>
      </w:pPr>
      <w:r>
        <w:rPr>
          <w:rFonts w:ascii="Times New Roman" w:hAnsi="Times New Roman"/>
          <w:szCs w:val="24"/>
        </w:rPr>
        <w:t>atbilstoši nolikumā noteiktajam neiesniedz sabiedrības līguma vai personālsabiedrības reģistrācijas dokumenta apliecinātu kopiju,</w:t>
      </w:r>
    </w:p>
    <w:p>
      <w:pPr>
        <w:pStyle w:val="Normal"/>
        <w:ind w:left="709" w:hanging="0"/>
        <w:jc w:val="both"/>
        <w:rPr>
          <w:rFonts w:ascii="Times New Roman" w:hAnsi="Times New Roman" w:cs="Times New Roman"/>
          <w:sz w:val="24"/>
          <w:szCs w:val="24"/>
        </w:rPr>
      </w:pPr>
      <w:r>
        <w:rPr>
          <w:rFonts w:cs="Times New Roman" w:ascii="Times New Roman" w:hAnsi="Times New Roman"/>
          <w:sz w:val="24"/>
          <w:szCs w:val="24"/>
        </w:rPr>
        <w:t xml:space="preserve">vai pārtraukt iepirkumu, neizvēloties nevienu piedāvājumu. </w:t>
      </w:r>
    </w:p>
    <w:p>
      <w:pPr>
        <w:pStyle w:val="ListParagraph"/>
        <w:numPr>
          <w:ilvl w:val="1"/>
          <w:numId w:val="26"/>
        </w:numPr>
        <w:tabs>
          <w:tab w:val="clear" w:pos="567"/>
          <w:tab w:val="left" w:pos="709" w:leader="none"/>
        </w:tabs>
        <w:ind w:left="709" w:hanging="709"/>
        <w:jc w:val="both"/>
        <w:rPr>
          <w:rFonts w:ascii="Times New Roman" w:hAnsi="Times New Roman"/>
          <w:szCs w:val="24"/>
        </w:rPr>
      </w:pPr>
      <w:r>
        <w:rPr>
          <w:rFonts w:ascii="Times New Roman" w:hAnsi="Times New Roman"/>
          <w:szCs w:val="24"/>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pPr>
        <w:pStyle w:val="Normal"/>
        <w:numPr>
          <w:ilvl w:val="1"/>
          <w:numId w:val="26"/>
        </w:numPr>
        <w:ind w:left="709" w:hanging="709"/>
        <w:jc w:val="both"/>
        <w:rPr>
          <w:rFonts w:ascii="Times New Roman" w:hAnsi="Times New Roman" w:cs="Times New Roman"/>
          <w:sz w:val="24"/>
          <w:szCs w:val="24"/>
        </w:rPr>
      </w:pPr>
      <w:r>
        <w:rPr>
          <w:rFonts w:cs="Times New Roman" w:ascii="Times New Roman" w:hAnsi="Times New Roman"/>
          <w:sz w:val="24"/>
          <w:szCs w:val="24"/>
        </w:rPr>
        <w:t xml:space="preserve">Ne vēlāk kā 10 (desmit) darbdienu laikā pēc dienas, kad stājas spēkā iepirkuma līgums, komisija pasūtītāja pircēja profilā ievieto iepirkuma līguma pamattekstu atbilstoši normatīvajos aktos noteiktajai kārtībai ievērojot komercnoslēpuma aizsardzības prasības. Iepirkuma līgums teksts ir pieejams pasūtītāja pircēja profilā visā iepirkuma līguma darbības laikā. </w:t>
      </w:r>
    </w:p>
    <w:p>
      <w:pPr>
        <w:pStyle w:val="Normal"/>
        <w:numPr>
          <w:ilvl w:val="1"/>
          <w:numId w:val="26"/>
        </w:numPr>
        <w:ind w:left="709" w:hanging="709"/>
        <w:jc w:val="both"/>
        <w:rPr>
          <w:rFonts w:ascii="Times New Roman" w:hAnsi="Times New Roman" w:cs="Times New Roman"/>
          <w:sz w:val="24"/>
          <w:szCs w:val="24"/>
        </w:rPr>
      </w:pPr>
      <w:r>
        <w:rPr>
          <w:rFonts w:cs="Times New Roman" w:ascii="Times New Roman" w:hAnsi="Times New Roman"/>
          <w:sz w:val="24"/>
          <w:szCs w:val="24"/>
        </w:rPr>
        <w:t>Komisija 10 (desmit) darbdienu laikā pēc tam, kad noslēgts iepirkuma līgums, sagatavo un Iepirkumu uzraudzības biroja publikāciju vadības sistēmā publicē informatīvu paziņojumu par noslēgto iepirkuma līgumu.</w:t>
      </w:r>
    </w:p>
    <w:p>
      <w:pPr>
        <w:pStyle w:val="Normal"/>
        <w:numPr>
          <w:ilvl w:val="1"/>
          <w:numId w:val="26"/>
        </w:numPr>
        <w:ind w:left="709" w:hanging="709"/>
        <w:jc w:val="both"/>
        <w:rPr>
          <w:rFonts w:ascii="Times New Roman" w:hAnsi="Times New Roman" w:cs="Times New Roman"/>
          <w:sz w:val="24"/>
          <w:szCs w:val="24"/>
        </w:rPr>
      </w:pPr>
      <w:r>
        <w:rPr>
          <w:rFonts w:cs="Times New Roman" w:ascii="Times New Roman" w:hAnsi="Times New Roman"/>
          <w:sz w:val="24"/>
          <w:szCs w:val="24"/>
        </w:rPr>
        <w:t>Iepirkuma līguma grozīšanas kārtība ir noteikta nolikuma 3. pielikumā “Iepirkuma līguma projekts”.</w:t>
      </w:r>
    </w:p>
    <w:p>
      <w:pPr>
        <w:pStyle w:val="Normal"/>
        <w:numPr>
          <w:ilvl w:val="1"/>
          <w:numId w:val="26"/>
        </w:numPr>
        <w:tabs>
          <w:tab w:val="clear" w:pos="567"/>
          <w:tab w:val="left" w:pos="709" w:leader="none"/>
        </w:tabs>
        <w:ind w:left="709" w:hanging="709"/>
        <w:jc w:val="both"/>
        <w:rPr>
          <w:rFonts w:ascii="Times New Roman" w:hAnsi="Times New Roman" w:cs="Times New Roman"/>
          <w:sz w:val="24"/>
          <w:szCs w:val="24"/>
        </w:rPr>
      </w:pPr>
      <w:r>
        <w:rPr>
          <w:rFonts w:cs="Times New Roman" w:ascii="Times New Roman" w:hAnsi="Times New Roman"/>
          <w:sz w:val="24"/>
          <w:szCs w:val="24"/>
        </w:rPr>
        <w:t>Pēc tam, kad stājas spēkā iepirkuma līguma grozījumi, pasūtītājs 10 (desmit) darbdienu laikā savā pircēja profilā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pircēja profilā visā iepirkuma līguma darbības laikā.</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Web"/>
        <w:numPr>
          <w:ilvl w:val="0"/>
          <w:numId w:val="8"/>
        </w:numPr>
        <w:spacing w:beforeAutospacing="0" w:before="0" w:afterAutospacing="0" w:after="0"/>
        <w:jc w:val="center"/>
        <w:rPr>
          <w:rFonts w:ascii="Times New Roman" w:hAnsi="Times New Roman"/>
          <w:b/>
          <w:b/>
          <w:lang w:val="lv-LV"/>
        </w:rPr>
      </w:pPr>
      <w:r>
        <w:rPr>
          <w:rFonts w:ascii="Times New Roman" w:hAnsi="Times New Roman"/>
          <w:b/>
          <w:lang w:val="lv-LV"/>
        </w:rPr>
        <w:t>NOLIKUMA PIELIKUMI</w:t>
      </w:r>
    </w:p>
    <w:p>
      <w:pPr>
        <w:pStyle w:val="NormalWeb"/>
        <w:spacing w:beforeAutospacing="0" w:before="0" w:afterAutospacing="0" w:after="0"/>
        <w:rPr>
          <w:rFonts w:ascii="Times New Roman" w:hAnsi="Times New Roman"/>
          <w:b/>
          <w:b/>
          <w:lang w:val="lv-LV"/>
        </w:rPr>
      </w:pPr>
      <w:r>
        <w:rPr>
          <w:rFonts w:ascii="Times New Roman" w:hAnsi="Times New Roman"/>
          <w:b/>
          <w:lang w:val="lv-LV"/>
        </w:rPr>
      </w:r>
    </w:p>
    <w:p>
      <w:pPr>
        <w:pStyle w:val="Normal"/>
        <w:tabs>
          <w:tab w:val="left" w:pos="567" w:leader="none"/>
        </w:tabs>
        <w:ind w:right="98" w:hanging="0"/>
        <w:jc w:val="both"/>
        <w:rPr>
          <w:rFonts w:ascii="Times New Roman" w:hAnsi="Times New Roman"/>
          <w:b/>
          <w:b/>
          <w:sz w:val="24"/>
          <w:szCs w:val="24"/>
        </w:rPr>
      </w:pPr>
      <w:r>
        <w:rPr>
          <w:rFonts w:ascii="Times New Roman" w:hAnsi="Times New Roman"/>
        </w:rPr>
        <w:t>13.1.1</w:t>
      </w:r>
      <w:r>
        <w:rPr>
          <w:rFonts w:ascii="Times New Roman" w:hAnsi="Times New Roman"/>
          <w:sz w:val="24"/>
          <w:szCs w:val="24"/>
        </w:rPr>
        <w:t>.    Šim nolikumam ir pievienoti 7 (septiņi) pielikumi, kas ir tā neatņemamas sastāvdaļas:</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1. pielikums: Pretendenta pieteikuma dalībai iepirkumā veidlapa uz 2 (divām) lapām;</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2. pielikums: Tehniskā specifikācija uz 2 (divām) lapām;</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3. pielikums: Iepirkuma līguma projekts uz 6 (sešām) lapām;</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4. pielikums: Finanšu piedāvājuma veidlapa uz 1 (vienas) lapas;</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5. pielikums: Tehniskā piedāvājuma veidlapa uz 1 (vienas) lapas;</w:t>
      </w:r>
    </w:p>
    <w:p>
      <w:pPr>
        <w:pStyle w:val="ListParagraph"/>
        <w:numPr>
          <w:ilvl w:val="2"/>
          <w:numId w:val="13"/>
        </w:numPr>
        <w:tabs>
          <w:tab w:val="clear" w:pos="567"/>
          <w:tab w:val="left" w:pos="993" w:leader="none"/>
        </w:tabs>
        <w:ind w:left="720" w:right="98" w:hanging="720"/>
        <w:jc w:val="both"/>
        <w:rPr>
          <w:rFonts w:ascii="Times New Roman" w:hAnsi="Times New Roman"/>
          <w:b/>
          <w:b/>
        </w:rPr>
      </w:pPr>
      <w:r>
        <w:rPr>
          <w:rFonts w:ascii="Times New Roman" w:hAnsi="Times New Roman"/>
          <w:bCs/>
        </w:rPr>
        <w:t>6. pielikums: Kvalifikācijas veidlapa uz 1 (vienas) lapas;</w:t>
      </w:r>
    </w:p>
    <w:p>
      <w:pPr>
        <w:pStyle w:val="ListParagraph"/>
        <w:numPr>
          <w:ilvl w:val="2"/>
          <w:numId w:val="13"/>
        </w:numPr>
        <w:ind w:left="720" w:right="98" w:hanging="720"/>
        <w:jc w:val="both"/>
        <w:rPr/>
      </w:pPr>
      <w:r>
        <w:rPr>
          <w:rFonts w:ascii="Times New Roman" w:hAnsi="Times New Roman"/>
        </w:rPr>
        <w:t>7. pielikums: Apliecinājums par neatkarīgi izstrādātu piedāvājumu uz 1 (vienas) lapas.</w:t>
      </w:r>
    </w:p>
    <w:p>
      <w:pPr>
        <w:pStyle w:val="Normal"/>
        <w:widowControl w:val="false"/>
        <w:tabs>
          <w:tab w:val="clear" w:pos="567"/>
          <w:tab w:val="left" w:pos="426" w:leader="none"/>
        </w:tabs>
        <w:ind w:right="98" w:hanging="0"/>
        <w:jc w:val="both"/>
        <w:rPr>
          <w:bCs/>
        </w:rPr>
      </w:pPr>
      <w:r>
        <w:rPr>
          <w:bCs/>
        </w:rPr>
      </w:r>
    </w:p>
    <w:p>
      <w:pPr>
        <w:pStyle w:val="Normal"/>
        <w:ind w:right="-285" w:hanging="0"/>
        <w:jc w:val="both"/>
        <w:rPr>
          <w:rFonts w:ascii="Times New Roman" w:hAnsi="Times New Roman" w:cs="Times New Roman"/>
          <w:sz w:val="24"/>
          <w:szCs w:val="24"/>
        </w:rPr>
      </w:pPr>
      <w:r>
        <w:rPr>
          <w:rFonts w:cs="Times New Roman" w:ascii="Times New Roman" w:hAnsi="Times New Roman"/>
          <w:sz w:val="24"/>
          <w:szCs w:val="24"/>
        </w:rPr>
        <w:t>Limbažu novada pašvaldības</w:t>
      </w:r>
    </w:p>
    <w:p>
      <w:pPr>
        <w:pStyle w:val="Normal"/>
        <w:ind w:right="141" w:hanging="0"/>
        <w:jc w:val="both"/>
        <w:rPr>
          <w:rFonts w:ascii="Times New Roman" w:hAnsi="Times New Roman" w:cs="Times New Roman"/>
          <w:sz w:val="24"/>
          <w:szCs w:val="24"/>
        </w:rPr>
      </w:pPr>
      <w:r>
        <w:rPr>
          <w:rFonts w:cs="Times New Roman" w:ascii="Times New Roman" w:hAnsi="Times New Roman"/>
          <w:sz w:val="24"/>
          <w:szCs w:val="24"/>
        </w:rPr>
        <w:t>Iepirkumu komisijas priekšsēdētājs</w:t>
        <w:tab/>
        <w:tab/>
        <w:tab/>
        <w:t xml:space="preserve">                                                       J. Graudiņš</w:t>
        <w:tab/>
        <w:tab/>
        <w:tab/>
        <w:tab/>
        <w:tab/>
        <w:t xml:space="preserve">       </w:t>
        <w:tab/>
        <w:tab/>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right="2"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23"/>
        </w:numPr>
        <w:spacing w:lineRule="auto" w:line="259" w:before="0" w:after="160"/>
        <w:contextualSpacing/>
        <w:jc w:val="right"/>
        <w:rPr>
          <w:rFonts w:ascii="Times New Roman" w:hAnsi="Times New Roman"/>
          <w:b/>
          <w:b/>
          <w:szCs w:val="24"/>
        </w:rPr>
      </w:pPr>
      <w:r>
        <w:rPr>
          <w:rFonts w:ascii="Times New Roman" w:hAnsi="Times New Roman"/>
          <w:b/>
          <w:szCs w:val="24"/>
        </w:rPr>
        <w:t>pielikums</w:t>
      </w:r>
    </w:p>
    <w:p>
      <w:pPr>
        <w:pStyle w:val="Normal"/>
        <w:jc w:val="right"/>
        <w:rPr>
          <w:rFonts w:ascii="Times New Roman" w:hAnsi="Times New Roman" w:cs="Times New Roman"/>
          <w:sz w:val="24"/>
          <w:szCs w:val="24"/>
        </w:rPr>
      </w:pPr>
      <w:r>
        <w:rPr>
          <w:rFonts w:cs="Times New Roman" w:ascii="Times New Roman" w:hAnsi="Times New Roman"/>
          <w:sz w:val="24"/>
          <w:szCs w:val="24"/>
        </w:rPr>
        <w:t>iepirkuma „</w:t>
      </w:r>
      <w:bookmarkStart w:id="24" w:name="_Hlk94082032"/>
      <w:r>
        <w:rPr>
          <w:rFonts w:cs="Times New Roman" w:ascii="Times New Roman" w:hAnsi="Times New Roman"/>
          <w:sz w:val="24"/>
          <w:szCs w:val="24"/>
        </w:rPr>
        <w:t xml:space="preserve">Nekustamā īpašuma tirgus vērtības, tirgus nomas maksas noteikšana un rakstveida atzinuma izgatavošanas pakalpojumi”, </w:t>
      </w:r>
    </w:p>
    <w:p>
      <w:pPr>
        <w:pStyle w:val="Normal"/>
        <w:jc w:val="right"/>
        <w:rPr>
          <w:rFonts w:ascii="Times New Roman" w:hAnsi="Times New Roman" w:cs="Times New Roman"/>
          <w:sz w:val="24"/>
          <w:szCs w:val="24"/>
        </w:rPr>
      </w:pPr>
      <w:r>
        <w:rPr>
          <w:rFonts w:cs="Times New Roman" w:ascii="Times New Roman" w:hAnsi="Times New Roman"/>
          <w:sz w:val="24"/>
          <w:szCs w:val="24"/>
        </w:rPr>
        <w:t xml:space="preserve">iepirkuma identifikācijas Nr. LNP </w:t>
      </w:r>
      <w:bookmarkEnd w:id="24"/>
      <w:r>
        <w:rPr>
          <w:rFonts w:cs="Times New Roman" w:ascii="Times New Roman" w:hAnsi="Times New Roman"/>
          <w:sz w:val="24"/>
          <w:szCs w:val="24"/>
        </w:rPr>
        <w:t>2024/11, nolikumam</w:t>
      </w:r>
    </w:p>
    <w:p>
      <w:pPr>
        <w:pStyle w:val="Normal"/>
        <w:jc w:val="right"/>
        <w:rPr>
          <w:rFonts w:ascii="Times New Roman" w:hAnsi="Times New Roman" w:cs="Times New Roman"/>
          <w:sz w:val="24"/>
          <w:szCs w:val="24"/>
        </w:rPr>
      </w:pPr>
      <w:r>
        <w:rPr>
          <w:rFonts w:cs="Times New Roman" w:ascii="Times New Roman" w:hAnsi="Times New Roman"/>
          <w:sz w:val="24"/>
          <w:szCs w:val="24"/>
        </w:rPr>
      </w:r>
    </w:p>
    <w:p>
      <w:pPr>
        <w:pStyle w:val="Pamatteksts"/>
        <w:spacing w:before="0" w:after="0"/>
        <w:ind w:right="23" w:hanging="0"/>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PRETENDENTA PIETEIKUMS DALĪBAI IEPIRKUMĀ</w:t>
      </w:r>
    </w:p>
    <w:p>
      <w:pPr>
        <w:pStyle w:val="Pamatteksts"/>
        <w:spacing w:before="0" w:after="0"/>
        <w:ind w:right="23" w:hanging="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Pamatteksts"/>
        <w:spacing w:before="0" w:after="0"/>
        <w:ind w:right="23" w:hanging="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PRETENDENTS,________________________________________________________________,</w:t>
      </w:r>
    </w:p>
    <w:p>
      <w:pPr>
        <w:pStyle w:val="Pamatteksts"/>
        <w:spacing w:before="0" w:after="0"/>
        <w:ind w:left="1440" w:right="23" w:firstLine="720"/>
        <w:rPr>
          <w:rFonts w:ascii="Times New Roman" w:hAnsi="Times New Roman" w:cs="Times New Roman"/>
          <w:i/>
          <w:i/>
          <w:color w:val="000000" w:themeColor="text1"/>
          <w:sz w:val="24"/>
          <w:szCs w:val="24"/>
        </w:rPr>
      </w:pPr>
      <w:r>
        <w:rPr>
          <w:rFonts w:cs="Times New Roman" w:ascii="Times New Roman" w:hAnsi="Times New Roman"/>
          <w:i/>
          <w:color w:val="000000" w:themeColor="text1"/>
          <w:sz w:val="24"/>
          <w:szCs w:val="24"/>
        </w:rPr>
        <w:t xml:space="preserve">(Juridiskai personai </w:t>
      </w:r>
      <w:r>
        <w:rPr>
          <w:rFonts w:eastAsia="Calibri" w:cs="Times New Roman" w:ascii="Times New Roman" w:hAnsi="Times New Roman" w:eastAsiaTheme="minorHAnsi"/>
          <w:i/>
          <w:color w:val="000000" w:themeColor="text1"/>
          <w:sz w:val="24"/>
          <w:szCs w:val="24"/>
        </w:rPr>
        <w:t>–</w:t>
      </w:r>
      <w:r>
        <w:rPr>
          <w:rFonts w:cs="Times New Roman" w:ascii="Times New Roman" w:hAnsi="Times New Roman"/>
          <w:i/>
          <w:color w:val="000000" w:themeColor="text1"/>
          <w:sz w:val="24"/>
          <w:szCs w:val="24"/>
        </w:rPr>
        <w:t xml:space="preserve"> nosaukums, reģistrācijas numurs, juridiskā adrese;  </w:t>
      </w:r>
    </w:p>
    <w:p>
      <w:pPr>
        <w:pStyle w:val="Pamatteksts"/>
        <w:spacing w:before="0" w:after="0"/>
        <w:ind w:left="1440" w:right="23" w:firstLine="720"/>
        <w:rPr>
          <w:rFonts w:ascii="Times New Roman" w:hAnsi="Times New Roman" w:cs="Times New Roman"/>
          <w:i/>
          <w:i/>
          <w:color w:val="000000" w:themeColor="text1"/>
          <w:sz w:val="24"/>
          <w:szCs w:val="24"/>
        </w:rPr>
      </w:pPr>
      <w:r>
        <w:rPr>
          <w:rFonts w:cs="Times New Roman" w:ascii="Times New Roman" w:hAnsi="Times New Roman"/>
          <w:i/>
          <w:color w:val="000000" w:themeColor="text1"/>
          <w:sz w:val="24"/>
          <w:szCs w:val="24"/>
        </w:rPr>
        <w:t xml:space="preserve">fiziskai personai </w:t>
      </w:r>
      <w:r>
        <w:rPr>
          <w:rFonts w:eastAsia="Calibri" w:cs="Times New Roman" w:ascii="Times New Roman" w:hAnsi="Times New Roman" w:eastAsiaTheme="minorHAnsi"/>
          <w:color w:val="000000" w:themeColor="text1"/>
          <w:sz w:val="24"/>
          <w:szCs w:val="24"/>
        </w:rPr>
        <w:t>–</w:t>
      </w:r>
      <w:r>
        <w:rPr>
          <w:rFonts w:cs="Times New Roman" w:ascii="Times New Roman" w:hAnsi="Times New Roman"/>
          <w:i/>
          <w:color w:val="000000" w:themeColor="text1"/>
          <w:sz w:val="24"/>
          <w:szCs w:val="24"/>
        </w:rPr>
        <w:t xml:space="preserve"> vārds, uzvārds, personas kods, adrese )</w:t>
      </w:r>
    </w:p>
    <w:p>
      <w:pPr>
        <w:pStyle w:val="Pamatteksts"/>
        <w:spacing w:before="0" w:after="0"/>
        <w:ind w:right="23" w:hanging="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kuru pārstāv ____________________________________________________________________,</w:t>
      </w:r>
    </w:p>
    <w:p>
      <w:pPr>
        <w:pStyle w:val="Pamatteksts"/>
        <w:spacing w:before="0" w:after="0"/>
        <w:ind w:left="1560" w:right="23" w:hanging="120"/>
        <w:rPr>
          <w:rFonts w:ascii="Times New Roman" w:hAnsi="Times New Roman" w:cs="Times New Roman"/>
          <w:i/>
          <w:i/>
          <w:color w:val="000000" w:themeColor="text1"/>
          <w:sz w:val="24"/>
          <w:szCs w:val="24"/>
        </w:rPr>
      </w:pPr>
      <w:r>
        <w:rPr>
          <w:rFonts w:cs="Times New Roman" w:ascii="Times New Roman" w:hAnsi="Times New Roman"/>
          <w:i/>
          <w:color w:val="000000" w:themeColor="text1"/>
          <w:sz w:val="24"/>
          <w:szCs w:val="24"/>
        </w:rPr>
        <w:t>(pārstāvja/pilnvarotās personas amats un vārds un uzvārds, pilnvarojuma pamats)</w:t>
      </w:r>
    </w:p>
    <w:p>
      <w:pPr>
        <w:pStyle w:val="Pamatteksts"/>
        <w:spacing w:before="120" w:after="240"/>
        <w:ind w:right="23" w:hanging="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ar šī pieteikuma iesniegšanu:</w:t>
      </w:r>
    </w:p>
    <w:p>
      <w:pPr>
        <w:pStyle w:val="NormalWeb"/>
        <w:spacing w:before="280" w:after="280"/>
        <w:jc w:val="both"/>
        <w:rPr>
          <w:rFonts w:ascii="Times New Roman" w:hAnsi="Times New Roman"/>
          <w:lang w:val="lv-LV"/>
        </w:rPr>
      </w:pPr>
      <w:r>
        <w:rPr>
          <w:rFonts w:ascii="Times New Roman" w:hAnsi="Times New Roman"/>
          <w:color w:val="000000" w:themeColor="text1"/>
          <w:lang w:val="lv-LV"/>
        </w:rPr>
        <w:t xml:space="preserve">piesakās piedalīties iepirkumā </w:t>
      </w:r>
      <w:r>
        <w:rPr>
          <w:rFonts w:ascii="Times New Roman" w:hAnsi="Times New Roman"/>
        </w:rPr>
        <w:t>„Nekustamā īpašuma tirgus vērtības, tirgus nomas maksas noteikšana un rakstveida atzinuma izgatavošanas pakalpojumi</w:t>
      </w:r>
      <w:r>
        <w:rPr>
          <w:rFonts w:ascii="Times New Roman" w:hAnsi="Times New Roman"/>
          <w:lang w:val="lv-LV"/>
        </w:rPr>
        <w:t>”, iepirkuma identifikācijas Nr. LNP 2024/11</w:t>
      </w:r>
      <w:r>
        <w:rPr>
          <w:rFonts w:ascii="Times New Roman" w:hAnsi="Times New Roman"/>
          <w:color w:val="000000" w:themeColor="text1"/>
          <w:lang w:val="lv-LV"/>
        </w:rPr>
        <w:t>, un piedāvā veikt iepirkuma priekšmetā minēto darbu veikšanu saskaņā ar iepirkuma nolikuma un tā sastāvā esošā iepirkuma līguma noteikumiem par piedāvāto kopējo līgumcenu:</w:t>
      </w:r>
    </w:p>
    <w:p>
      <w:pPr>
        <w:pStyle w:val="Normal"/>
        <w:tabs>
          <w:tab w:val="clear" w:pos="567"/>
          <w:tab w:val="left" w:pos="180" w:leader="none"/>
          <w:tab w:val="left" w:pos="540" w:leader="none"/>
          <w:tab w:val="left" w:pos="900" w:leader="none"/>
        </w:tabs>
        <w:spacing w:before="120" w:after="0"/>
        <w:ind w:left="539" w:hanging="539"/>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_______________________________________________________________________________</w:t>
      </w:r>
    </w:p>
    <w:p>
      <w:pPr>
        <w:pStyle w:val="Normal"/>
        <w:tabs>
          <w:tab w:val="clear" w:pos="567"/>
          <w:tab w:val="left" w:pos="180" w:leader="none"/>
          <w:tab w:val="left" w:pos="540" w:leader="none"/>
          <w:tab w:val="left" w:pos="900" w:leader="none"/>
        </w:tabs>
        <w:ind w:left="539" w:hanging="539"/>
        <w:jc w:val="center"/>
        <w:rPr>
          <w:rFonts w:ascii="Times New Roman" w:hAnsi="Times New Roman" w:cs="Times New Roman"/>
          <w:sz w:val="24"/>
          <w:szCs w:val="24"/>
        </w:rPr>
      </w:pPr>
      <w:r>
        <w:rPr>
          <w:rFonts w:cs="Times New Roman" w:ascii="Times New Roman" w:hAnsi="Times New Roman"/>
          <w:sz w:val="24"/>
          <w:szCs w:val="24"/>
        </w:rPr>
        <w:t>(līgumcena, EUR, bez PVN, skaitļos un vārdos)</w:t>
      </w:r>
    </w:p>
    <w:p>
      <w:pPr>
        <w:pStyle w:val="Normal"/>
        <w:tabs>
          <w:tab w:val="clear" w:pos="567"/>
          <w:tab w:val="left" w:pos="180" w:leader="none"/>
          <w:tab w:val="left" w:pos="540" w:leader="none"/>
          <w:tab w:val="left" w:pos="900" w:leader="none"/>
        </w:tabs>
        <w:spacing w:before="120" w:after="0"/>
        <w:ind w:left="539" w:hanging="539"/>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________________________________________________________________________________</w:t>
      </w:r>
    </w:p>
    <w:p>
      <w:pPr>
        <w:pStyle w:val="Normal"/>
        <w:tabs>
          <w:tab w:val="clear" w:pos="567"/>
          <w:tab w:val="left" w:pos="180" w:leader="none"/>
          <w:tab w:val="left" w:pos="540" w:leader="none"/>
          <w:tab w:val="left" w:pos="900" w:leader="none"/>
        </w:tabs>
        <w:ind w:left="539" w:hanging="539"/>
        <w:jc w:val="center"/>
        <w:rPr>
          <w:rFonts w:ascii="Times New Roman" w:hAnsi="Times New Roman" w:cs="Times New Roman"/>
          <w:sz w:val="24"/>
          <w:szCs w:val="24"/>
        </w:rPr>
      </w:pPr>
      <w:r>
        <w:rPr>
          <w:rFonts w:cs="Times New Roman" w:ascii="Times New Roman" w:hAnsi="Times New Roman"/>
          <w:sz w:val="24"/>
          <w:szCs w:val="24"/>
        </w:rPr>
        <w:t>(PVN, EUR, skaitļos un vārdos)</w:t>
      </w:r>
    </w:p>
    <w:p>
      <w:pPr>
        <w:pStyle w:val="Normal"/>
        <w:tabs>
          <w:tab w:val="clear" w:pos="567"/>
          <w:tab w:val="left" w:pos="180" w:leader="none"/>
          <w:tab w:val="left" w:pos="540" w:leader="none"/>
          <w:tab w:val="left" w:pos="900" w:leader="none"/>
        </w:tabs>
        <w:spacing w:before="120" w:after="0"/>
        <w:ind w:left="539" w:hanging="539"/>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________________________________________________________________________________</w:t>
      </w:r>
    </w:p>
    <w:p>
      <w:pPr>
        <w:pStyle w:val="Normal"/>
        <w:tabs>
          <w:tab w:val="clear" w:pos="567"/>
          <w:tab w:val="left" w:pos="180" w:leader="none"/>
          <w:tab w:val="left" w:pos="540" w:leader="none"/>
          <w:tab w:val="left" w:pos="900" w:leader="none"/>
        </w:tabs>
        <w:ind w:left="539" w:hanging="539"/>
        <w:jc w:val="center"/>
        <w:rPr>
          <w:rFonts w:ascii="Times New Roman" w:hAnsi="Times New Roman" w:cs="Times New Roman"/>
          <w:sz w:val="24"/>
          <w:szCs w:val="24"/>
        </w:rPr>
      </w:pPr>
      <w:r>
        <w:rPr>
          <w:rFonts w:cs="Times New Roman" w:ascii="Times New Roman" w:hAnsi="Times New Roman"/>
          <w:sz w:val="24"/>
          <w:szCs w:val="24"/>
        </w:rPr>
        <w:t>(kopējā cena, EUR, ar PVN, skaitļos un vārdos)</w:t>
      </w:r>
    </w:p>
    <w:p>
      <w:pPr>
        <w:pStyle w:val="Normal"/>
        <w:tabs>
          <w:tab w:val="clear" w:pos="567"/>
          <w:tab w:val="left" w:pos="180" w:leader="none"/>
          <w:tab w:val="left" w:pos="540" w:leader="none"/>
          <w:tab w:val="left" w:pos="900" w:leader="none"/>
        </w:tabs>
        <w:ind w:left="539" w:hanging="539"/>
        <w:jc w:val="center"/>
        <w:rPr>
          <w:rFonts w:ascii="Times New Roman" w:hAnsi="Times New Roman" w:cs="Times New Roman"/>
          <w:sz w:val="24"/>
          <w:szCs w:val="24"/>
        </w:rPr>
      </w:pPr>
      <w:r>
        <w:rPr>
          <w:rFonts w:cs="Times New Roman" w:ascii="Times New Roman" w:hAnsi="Times New Roman"/>
          <w:sz w:val="24"/>
          <w:szCs w:val="24"/>
        </w:rPr>
      </w:r>
    </w:p>
    <w:p>
      <w:pPr>
        <w:pStyle w:val="Pamatteksts"/>
        <w:numPr>
          <w:ilvl w:val="0"/>
          <w:numId w:val="42"/>
        </w:numPr>
        <w:spacing w:before="60" w:after="60"/>
        <w:ind w:left="284" w:right="23" w:hanging="284"/>
        <w:jc w:val="both"/>
        <w:rPr>
          <w:rFonts w:ascii="Times New Roman" w:hAnsi="Times New Roman" w:cs="Times New Roman"/>
          <w:color w:val="000000" w:themeColor="text1"/>
          <w:sz w:val="24"/>
          <w:szCs w:val="24"/>
        </w:rPr>
      </w:pPr>
      <w:r>
        <w:rPr>
          <w:rFonts w:eastAsia="Calibri" w:cs="Times New Roman" w:ascii="Times New Roman" w:hAnsi="Times New Roman" w:eastAsiaTheme="minorHAnsi"/>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pPr>
        <w:pStyle w:val="Pamatteksts"/>
        <w:numPr>
          <w:ilvl w:val="0"/>
          <w:numId w:val="43"/>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eastAsia="Calibri" w:cs="Times New Roman" w:ascii="Times New Roman" w:hAnsi="Times New Roman" w:eastAsiaTheme="minorHAnsi"/>
          <w:color w:val="000000" w:themeColor="text1"/>
          <w:sz w:val="24"/>
          <w:szCs w:val="24"/>
          <w:lang w:eastAsia="en-US"/>
        </w:rPr>
        <w:t xml:space="preserve">apliecinu, ka piedāvātā vienas vienības cena un līgumcena netiks paaugstināta visu iepirkuma līguma darbības laiku; </w:t>
      </w:r>
    </w:p>
    <w:p>
      <w:pPr>
        <w:pStyle w:val="Pamatteksts"/>
        <w:numPr>
          <w:ilvl w:val="0"/>
          <w:numId w:val="44"/>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eastAsia="Calibri" w:cs="Times New Roman" w:ascii="Times New Roman" w:hAnsi="Times New Roman" w:eastAsiaTheme="minorHAnsi"/>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pPr>
        <w:pStyle w:val="Pamatteksts"/>
        <w:numPr>
          <w:ilvl w:val="0"/>
          <w:numId w:val="45"/>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apliecinu, ka esmu iepazinies ar iepirkuma </w:t>
      </w:r>
      <w:r>
        <w:rPr>
          <w:rFonts w:cs="Times New Roman" w:ascii="Times New Roman" w:hAnsi="Times New Roman"/>
          <w:sz w:val="24"/>
          <w:szCs w:val="24"/>
        </w:rPr>
        <w:t>„Nekustamā īpašuma tirgus vērtības, tirgus nomas maksas noteikšana un rakstveida atzinuma izgatavošanas pakalpojumi</w:t>
      </w:r>
      <w:r>
        <w:rPr>
          <w:rFonts w:ascii="Times New Roman" w:hAnsi="Times New Roman"/>
          <w:sz w:val="24"/>
          <w:szCs w:val="24"/>
        </w:rPr>
        <w:t>”, iepirkuma identifikācijas Nr. LNP 2024/11</w:t>
      </w:r>
      <w:r>
        <w:rPr>
          <w:rFonts w:cs="Times New Roman" w:ascii="Times New Roman" w:hAnsi="Times New Roman"/>
          <w:color w:val="000000" w:themeColor="text1"/>
          <w:sz w:val="24"/>
          <w:szCs w:val="24"/>
        </w:rPr>
        <w:t>, nolikumu, t.sk., līgumu, Tehnisko specifikāciju un darbu apjomiem, piekrītu šajos dokumentos izvirzītajām prasībām, un tam šajā sakarā nav nekādu pretenziju;</w:t>
      </w:r>
    </w:p>
    <w:p>
      <w:pPr>
        <w:pStyle w:val="Pamatteksts"/>
        <w:numPr>
          <w:ilvl w:val="0"/>
          <w:numId w:val="46"/>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apliecinu, ka esmu pilnībā iepazinies ar iepirkuma </w:t>
      </w:r>
      <w:r>
        <w:rPr>
          <w:rFonts w:cs="Times New Roman" w:ascii="Times New Roman" w:hAnsi="Times New Roman"/>
          <w:sz w:val="24"/>
          <w:szCs w:val="24"/>
        </w:rPr>
        <w:t>„Nekustamā īpašuma tirgus vērtības, tirgus nomas maksas noteikšana un rakstveida atzinuma izgatavošanas pakalpojumi</w:t>
      </w:r>
      <w:r>
        <w:rPr>
          <w:rFonts w:ascii="Times New Roman" w:hAnsi="Times New Roman"/>
          <w:sz w:val="24"/>
          <w:szCs w:val="24"/>
        </w:rPr>
        <w:t>”, iepirkuma identifikācijas Nr. LNP 2024/11</w:t>
      </w:r>
      <w:r>
        <w:rPr>
          <w:rFonts w:cs="Times New Roman" w:ascii="Times New Roman" w:hAnsi="Times New Roman"/>
          <w:color w:val="000000" w:themeColor="text1"/>
          <w:sz w:val="24"/>
          <w:szCs w:val="24"/>
        </w:rPr>
        <w:t xml:space="preserve">, Tehniskajā specifikācijā izvirzītajiem noteikumiem pakalpojuma sniegšanā un man ir skaidra un saprotama pakalpojuma sniegšana; </w:t>
      </w:r>
    </w:p>
    <w:p>
      <w:pPr>
        <w:pStyle w:val="Pamatteksts"/>
        <w:numPr>
          <w:ilvl w:val="0"/>
          <w:numId w:val="47"/>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apņemos ievērot iepirkuma </w:t>
      </w:r>
      <w:r>
        <w:rPr>
          <w:rFonts w:cs="Times New Roman" w:ascii="Times New Roman" w:hAnsi="Times New Roman"/>
          <w:sz w:val="24"/>
          <w:szCs w:val="24"/>
        </w:rPr>
        <w:t>„Nekustamā īpašuma tirgus vērtības, tirgus nomas maksas noteikšana un rakstveida atzinuma izgatavošanas pakalpojumi</w:t>
      </w:r>
      <w:r>
        <w:rPr>
          <w:rFonts w:ascii="Times New Roman" w:hAnsi="Times New Roman"/>
          <w:sz w:val="24"/>
          <w:szCs w:val="24"/>
        </w:rPr>
        <w:t>”, iepirkuma identifikācijas Nr. LNP 2024/11</w:t>
      </w:r>
      <w:r>
        <w:rPr>
          <w:rFonts w:cs="Times New Roman" w:ascii="Times New Roman" w:hAnsi="Times New Roman"/>
          <w:color w:val="000000" w:themeColor="text1"/>
          <w:sz w:val="24"/>
          <w:szCs w:val="24"/>
        </w:rPr>
        <w:t>, nolikuma prasības;</w:t>
      </w:r>
    </w:p>
    <w:p>
      <w:pPr>
        <w:pStyle w:val="Pamatteksts"/>
        <w:numPr>
          <w:ilvl w:val="0"/>
          <w:numId w:val="48"/>
        </w:numPr>
        <w:tabs>
          <w:tab w:val="clear" w:pos="567"/>
          <w:tab w:val="left" w:pos="426" w:leader="none"/>
        </w:tabs>
        <w:spacing w:before="0" w:after="60"/>
        <w:ind w:left="284" w:right="23" w:hanging="28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apņemos parakstīt iepirkuma </w:t>
      </w:r>
      <w:r>
        <w:rPr>
          <w:rFonts w:cs="Times New Roman" w:ascii="Times New Roman" w:hAnsi="Times New Roman"/>
          <w:sz w:val="24"/>
          <w:szCs w:val="24"/>
        </w:rPr>
        <w:t>„Nekustamā īpašuma tirgus vērtības, tirgus nomas maksas noteikšana un rakstveida atzinuma izgatavošanas pakalpojumi</w:t>
      </w:r>
      <w:r>
        <w:rPr>
          <w:rFonts w:ascii="Times New Roman" w:hAnsi="Times New Roman"/>
          <w:sz w:val="24"/>
          <w:szCs w:val="24"/>
        </w:rPr>
        <w:t>”, iepirkuma identifikācijas Nr. LNP 2024/11</w:t>
      </w:r>
      <w:r>
        <w:rPr>
          <w:rFonts w:cs="Times New Roman" w:ascii="Times New Roman" w:hAnsi="Times New Roman"/>
          <w:sz w:val="24"/>
          <w:szCs w:val="24"/>
        </w:rPr>
        <w:t>,</w:t>
      </w:r>
      <w:r>
        <w:rPr>
          <w:rFonts w:cs="Times New Roman" w:ascii="Times New Roman" w:hAnsi="Times New Roman"/>
          <w:color w:val="000000" w:themeColor="text1"/>
          <w:sz w:val="24"/>
          <w:szCs w:val="24"/>
        </w:rPr>
        <w:t xml:space="preserve"> nolikuma sastāvā esošo iepirkuma līgumu nolikumam pievienotajā redakcijā, ja iepirkuma komisija pieņem lēmumu piešķirt pretendentam tiesības slēgt konkrēto līgumu.</w:t>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Informācija, ko pretendents uzskata par ierobežotas pieejamības informāciju, atrodas pretendenta piedāvājuma ____ lp.</w:t>
      </w:r>
    </w:p>
    <w:p>
      <w:pPr>
        <w:pStyle w:val="Normal"/>
        <w:jc w:val="both"/>
        <w:rPr>
          <w:rFonts w:ascii="Times New Roman" w:hAnsi="Times New Roman" w:cs="Times New Roman"/>
          <w:sz w:val="24"/>
          <w:szCs w:val="24"/>
        </w:rPr>
      </w:pPr>
      <w:r>
        <w:rPr>
          <w:rFonts w:cs="Times New Roman" w:ascii="Times New Roman" w:hAnsi="Times New Roman"/>
          <w:sz w:val="24"/>
          <w:szCs w:val="24"/>
        </w:rPr>
      </w:r>
    </w:p>
    <w:tbl>
      <w:tblPr>
        <w:tblW w:w="9639" w:type="dxa"/>
        <w:jc w:val="left"/>
        <w:tblInd w:w="226" w:type="dxa"/>
        <w:tblLayout w:type="fixed"/>
        <w:tblCellMar>
          <w:top w:w="0" w:type="dxa"/>
          <w:left w:w="108" w:type="dxa"/>
          <w:bottom w:w="0" w:type="dxa"/>
          <w:right w:w="108" w:type="dxa"/>
        </w:tblCellMar>
        <w:tblLook w:firstRow="1" w:noVBand="1" w:lastRow="0" w:firstColumn="1" w:lastColumn="0" w:noHBand="0" w:val="04a0"/>
      </w:tblPr>
      <w:tblGrid>
        <w:gridCol w:w="6231"/>
        <w:gridCol w:w="3407"/>
      </w:tblGrid>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b/>
                <w:i/>
                <w:sz w:val="24"/>
                <w:szCs w:val="24"/>
              </w:rPr>
              <w:t xml:space="preserve">Pretendents </w:t>
            </w:r>
            <w:r>
              <w:rPr>
                <w:rFonts w:cs="Times New Roman" w:ascii="Times New Roman" w:hAnsi="Times New Roman"/>
                <w:i/>
                <w:sz w:val="24"/>
                <w:szCs w:val="24"/>
              </w:rPr>
              <w:t>(</w:t>
            </w:r>
            <w:r>
              <w:rPr>
                <w:rFonts w:cs="Times New Roman" w:ascii="Times New Roman" w:hAnsi="Times New Roman"/>
                <w:i/>
                <w:iCs/>
                <w:sz w:val="24"/>
                <w:szCs w:val="24"/>
              </w:rPr>
              <w:t>pretendenta nosaukums)</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i/>
                <w:sz w:val="24"/>
                <w:szCs w:val="24"/>
              </w:rPr>
              <w:t>Vienotais reģistrācijas Nr.</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Pretendenta uzņēmums atbilst mazā vai vidējā uzņēmuma statusam</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i/>
                <w:sz w:val="24"/>
                <w:szCs w:val="24"/>
              </w:rPr>
              <w:t>Pretendenta adrese, tālruņa numuri, e-pasts</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i/>
                <w:sz w:val="24"/>
                <w:szCs w:val="24"/>
              </w:rPr>
              <w:t>P</w:t>
            </w:r>
            <w:r>
              <w:rPr>
                <w:rFonts w:cs="Times New Roman" w:ascii="Times New Roman" w:hAnsi="Times New Roman"/>
                <w:i/>
                <w:iCs/>
                <w:sz w:val="24"/>
                <w:szCs w:val="24"/>
              </w:rPr>
              <w:t>retendenta bankas rekvizīti</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i/>
                <w:sz w:val="24"/>
                <w:szCs w:val="24"/>
              </w:rPr>
              <w:t>Pretendenta pārstāvja vai pilnvarotās personas amats, vārds un uzvārds, tālr. Nr</w:t>
            </w:r>
            <w:r>
              <w:rPr>
                <w:rFonts w:cs="Times New Roman" w:ascii="Times New Roman" w:hAnsi="Times New Roman"/>
                <w:sz w:val="24"/>
                <w:szCs w:val="24"/>
              </w:rPr>
              <w:t>.</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i/>
                <w:sz w:val="24"/>
                <w:szCs w:val="24"/>
              </w:rPr>
              <w:t>Personas, kas parakstīs iepirkuma līgumu, amats, vārds, uzvārds, tālr. Nr., pilnvarojuma pamats</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iCs/>
                <w:sz w:val="24"/>
                <w:szCs w:val="24"/>
              </w:rPr>
            </w:pPr>
            <w:r>
              <w:rPr>
                <w:rFonts w:cs="Times New Roman" w:ascii="Times New Roman" w:hAnsi="Times New Roman"/>
                <w:i/>
                <w:iCs/>
                <w:sz w:val="24"/>
                <w:szCs w:val="24"/>
              </w:rPr>
              <w:t>Pretendents nodrošina vai nenodrošina līguma elektronisku parakstīšanu</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567"/>
                <w:tab w:val="left" w:pos="0" w:leader="none"/>
                <w:tab w:val="left" w:pos="360" w:leader="none"/>
              </w:tabs>
              <w:jc w:val="both"/>
              <w:rPr>
                <w:rFonts w:ascii="Times New Roman" w:hAnsi="Times New Roman" w:cs="Times New Roman"/>
                <w:b/>
                <w:b/>
                <w:sz w:val="24"/>
                <w:szCs w:val="24"/>
                <w:u w:val="single"/>
              </w:rPr>
            </w:pPr>
            <w:r>
              <w:rPr>
                <w:rFonts w:cs="Times New Roman" w:ascii="Times New Roman" w:hAnsi="Times New Roman"/>
                <w:i/>
                <w:sz w:val="24"/>
                <w:szCs w:val="24"/>
              </w:rPr>
              <w:t>Pretendenta par iepirkuma līguma izpildi atbildīgās personas amats, vārds, uzvārds, tālruņa Nr., e-pasta adrese</w:t>
            </w:r>
          </w:p>
        </w:tc>
        <w:tc>
          <w:tcPr>
            <w:tcW w:w="340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bl>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color w:val="FF0000"/>
          <w:sz w:val="24"/>
          <w:szCs w:val="24"/>
        </w:rPr>
      </w:pPr>
      <w:r>
        <w:rPr>
          <w:rFonts w:cs="Times New Roman" w:ascii="Times New Roman" w:hAnsi="Times New Roman"/>
          <w:b/>
          <w:color w:val="FF0000"/>
          <w:sz w:val="24"/>
          <w:szCs w:val="24"/>
        </w:rPr>
        <w:t>Aizpilda un papildina atbilstošo, ja nepieciešams</w:t>
      </w:r>
    </w:p>
    <w:tbl>
      <w:tblPr>
        <w:tblW w:w="9634" w:type="dxa"/>
        <w:jc w:val="left"/>
        <w:tblInd w:w="226" w:type="dxa"/>
        <w:tblLayout w:type="fixed"/>
        <w:tblCellMar>
          <w:top w:w="0" w:type="dxa"/>
          <w:left w:w="108" w:type="dxa"/>
          <w:bottom w:w="0" w:type="dxa"/>
          <w:right w:w="108" w:type="dxa"/>
        </w:tblCellMar>
        <w:tblLook w:firstRow="1" w:noVBand="1" w:lastRow="0" w:firstColumn="1" w:lastColumn="0" w:noHBand="0" w:val="04a0"/>
      </w:tblPr>
      <w:tblGrid>
        <w:gridCol w:w="6236"/>
        <w:gridCol w:w="3397"/>
      </w:tblGrid>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b/>
                <w:i/>
                <w:sz w:val="24"/>
                <w:szCs w:val="24"/>
              </w:rPr>
              <w:t>Persona uz kuras iespējām pretendents balstās, lai apliecinātu savu kvalifikāciju</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i/>
                <w:i/>
                <w:sz w:val="24"/>
                <w:szCs w:val="24"/>
              </w:rPr>
            </w:pPr>
            <w:r>
              <w:rPr>
                <w:rFonts w:cs="Times New Roman" w:ascii="Times New Roman" w:hAnsi="Times New Roman"/>
                <w:i/>
                <w:iCs/>
                <w:sz w:val="24"/>
                <w:szCs w:val="24"/>
              </w:rPr>
              <w:t>Nosaukums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i/>
                <w:sz w:val="24"/>
                <w:szCs w:val="24"/>
              </w:rPr>
              <w:t>Vienotais reģistrācijas Nr.</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Uzņēmums atbilst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Resursi, kurus persona uz kuras iespējām balstās, nodos pretendentam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Darbi, kurus veiks persona, uz kuras iespējām balstās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b/>
                <w:i/>
                <w:sz w:val="24"/>
                <w:szCs w:val="24"/>
              </w:rPr>
              <w:t>Piegādātāju apvienības dalībnieki</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i/>
                <w:i/>
                <w:sz w:val="24"/>
                <w:szCs w:val="24"/>
              </w:rPr>
            </w:pPr>
            <w:r>
              <w:rPr>
                <w:rFonts w:cs="Times New Roman" w:ascii="Times New Roman" w:hAnsi="Times New Roman"/>
                <w:i/>
                <w:iCs/>
                <w:sz w:val="24"/>
                <w:szCs w:val="24"/>
              </w:rPr>
              <w:t>Nosaukums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i/>
                <w:sz w:val="24"/>
                <w:szCs w:val="24"/>
              </w:rPr>
              <w:t>Vienotais reģistrācijas Nr.</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i/>
                <w:i/>
                <w:sz w:val="24"/>
                <w:szCs w:val="24"/>
              </w:rPr>
            </w:pPr>
            <w:r>
              <w:rPr>
                <w:rFonts w:cs="Times New Roman" w:ascii="Times New Roman" w:hAnsi="Times New Roman"/>
                <w:i/>
                <w:iCs/>
                <w:sz w:val="24"/>
                <w:szCs w:val="24"/>
              </w:rPr>
              <w:t>Nosaukums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i/>
                <w:sz w:val="24"/>
                <w:szCs w:val="24"/>
              </w:rPr>
              <w:t>Vienotais reģistrācijas Nr.</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Piegādātāju apvienības dalībnieks atbilst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Resursu sadalījums starp piegādātāju apvienības dalībniekiem (saimnieciskie, finansiālie, tehniskie un profesionālie)</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Darbu sadalījums starp piegādātāju apvienības dalībniekiem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i/>
                <w:i/>
                <w:sz w:val="24"/>
                <w:szCs w:val="24"/>
              </w:rPr>
            </w:pPr>
            <w:r>
              <w:rPr>
                <w:rFonts w:cs="Times New Roman" w:ascii="Times New Roman" w:hAnsi="Times New Roman"/>
                <w:b/>
                <w:i/>
                <w:sz w:val="24"/>
                <w:szCs w:val="24"/>
              </w:rPr>
              <w:t>Pretendenta apakšuzņēmējs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i/>
                <w:i/>
                <w:sz w:val="24"/>
                <w:szCs w:val="24"/>
              </w:rPr>
            </w:pPr>
            <w:r>
              <w:rPr>
                <w:rFonts w:cs="Times New Roman" w:ascii="Times New Roman" w:hAnsi="Times New Roman"/>
                <w:i/>
                <w:iCs/>
                <w:sz w:val="24"/>
                <w:szCs w:val="24"/>
              </w:rPr>
              <w:t>Nosaukums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i/>
                <w:i/>
                <w:sz w:val="24"/>
                <w:szCs w:val="24"/>
              </w:rPr>
            </w:pPr>
            <w:r>
              <w:rPr>
                <w:rFonts w:cs="Times New Roman" w:ascii="Times New Roman" w:hAnsi="Times New Roman"/>
                <w:i/>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i/>
                <w:sz w:val="24"/>
                <w:szCs w:val="24"/>
              </w:rPr>
              <w:t>Vienotais reģistrācijas Nr.</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Uzņēmums atbilst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Resursi, kurus apakšuzņēmējs nodos pretendentam</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r>
        <w:trPr/>
        <w:tc>
          <w:tcPr>
            <w:tcW w:w="6236"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i/>
                <w:i/>
              </w:rPr>
            </w:pPr>
            <w:r>
              <w:rPr>
                <w:i/>
              </w:rPr>
              <w:t>Darbi, kurus veiks apakšuzņēmējs</w:t>
            </w:r>
          </w:p>
        </w:tc>
        <w:tc>
          <w:tcPr>
            <w:tcW w:w="3397"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pPr>
            <w:r>
              <w:rPr/>
            </w:r>
          </w:p>
        </w:tc>
      </w:tr>
    </w:tbl>
    <w:p>
      <w:pPr>
        <w:pStyle w:val="Normal"/>
        <w:spacing w:lineRule="auto" w:line="259" w:before="0" w:after="160"/>
        <w:rPr>
          <w:rFonts w:ascii="Times New Roman" w:hAnsi="Times New Roman" w:cs="Times New Roman"/>
          <w:b/>
          <w:b/>
          <w:sz w:val="24"/>
          <w:szCs w:val="24"/>
        </w:rPr>
      </w:pPr>
      <w:r>
        <w:rPr>
          <w:rFonts w:cs="Times New Roman" w:ascii="Times New Roman" w:hAnsi="Times New Roman"/>
          <w:i/>
          <w:sz w:val="24"/>
          <w:szCs w:val="24"/>
        </w:rPr>
        <w:t>Pretendenta pārstāvja vai pilnvarotās personas paraksts</w:t>
      </w:r>
      <w:r>
        <w:rPr>
          <w:rFonts w:cs="Times New Roman" w:ascii="Times New Roman" w:hAnsi="Times New Roman"/>
          <w:b/>
          <w:sz w:val="24"/>
          <w:szCs w:val="24"/>
        </w:rPr>
        <w:t xml:space="preserve"> _________________________</w:t>
      </w:r>
    </w:p>
    <w:p>
      <w:pPr>
        <w:sectPr>
          <w:headerReference w:type="default" r:id="rId7"/>
          <w:footerReference w:type="even" r:id="rId8"/>
          <w:footerReference w:type="default" r:id="rId9"/>
          <w:type w:val="nextPage"/>
          <w:pgSz w:w="11906" w:h="16838"/>
          <w:pgMar w:left="1701" w:right="567" w:gutter="0" w:header="720" w:top="1134" w:footer="720" w:bottom="1134"/>
          <w:pgNumType w:fmt="decimal"/>
          <w:formProt w:val="false"/>
          <w:titlePg/>
          <w:textDirection w:val="lrTb"/>
          <w:docGrid w:type="default" w:linePitch="381" w:charSpace="20480"/>
        </w:sectPr>
        <w:pStyle w:val="Normal"/>
        <w:jc w:val="both"/>
        <w:rPr>
          <w:rFonts w:ascii="Times New Roman" w:hAnsi="Times New Roman" w:cs="Times New Roman"/>
          <w:b/>
          <w:b/>
          <w:i/>
          <w:i/>
          <w:sz w:val="24"/>
          <w:szCs w:val="24"/>
        </w:rPr>
      </w:pPr>
      <w:r>
        <w:rPr>
          <w:rFonts w:cs="Times New Roman" w:ascii="Times New Roman" w:hAnsi="Times New Roman"/>
          <w:b/>
          <w:i/>
          <w:sz w:val="24"/>
          <w:szCs w:val="24"/>
        </w:rPr>
        <w:t>Ja Pieteikumu paraksta Pretendenta pārstāvja pilnvarota persona, klāt obligāti jāpievieno pilnvara.</w:t>
      </w:r>
      <w:r>
        <w:br w:type="page"/>
      </w:r>
    </w:p>
    <w:p>
      <w:pPr>
        <w:pStyle w:val="ListParagraph"/>
        <w:numPr>
          <w:ilvl w:val="0"/>
          <w:numId w:val="23"/>
        </w:numPr>
        <w:jc w:val="right"/>
        <w:rPr>
          <w:rFonts w:ascii="Times New Roman" w:hAnsi="Times New Roman"/>
          <w:b/>
          <w:b/>
          <w:szCs w:val="24"/>
        </w:rPr>
      </w:pPr>
      <w:r>
        <w:rPr>
          <w:rFonts w:ascii="Times New Roman" w:hAnsi="Times New Roman"/>
          <w:b/>
          <w:szCs w:val="24"/>
        </w:rPr>
        <w:t>pielikums</w:t>
      </w:r>
    </w:p>
    <w:p>
      <w:pPr>
        <w:pStyle w:val="Normal"/>
        <w:jc w:val="right"/>
        <w:rPr>
          <w:rFonts w:ascii="Times New Roman" w:hAnsi="Times New Roman" w:cs="Times New Roman"/>
          <w:sz w:val="24"/>
          <w:szCs w:val="24"/>
        </w:rPr>
      </w:pPr>
      <w:r>
        <w:rPr>
          <w:rFonts w:cs="Times New Roman" w:ascii="Times New Roman" w:hAnsi="Times New Roman"/>
          <w:sz w:val="24"/>
          <w:szCs w:val="24"/>
        </w:rPr>
        <w:t xml:space="preserve">iepirkuma „Nekustamā īpašuma tirgus vērtības, tirgus nomas maksas noteikšana un rakstveida atzinuma izgatavošanas pakalpojumi”, </w:t>
      </w:r>
    </w:p>
    <w:p>
      <w:pPr>
        <w:pStyle w:val="Normal"/>
        <w:jc w:val="right"/>
        <w:rPr>
          <w:rFonts w:ascii="Times New Roman" w:hAnsi="Times New Roman" w:cs="Times New Roman"/>
          <w:sz w:val="24"/>
          <w:szCs w:val="24"/>
        </w:rPr>
      </w:pPr>
      <w:r>
        <w:rPr>
          <w:rFonts w:cs="Times New Roman" w:ascii="Times New Roman" w:hAnsi="Times New Roman"/>
          <w:sz w:val="24"/>
          <w:szCs w:val="24"/>
        </w:rPr>
        <w:t>iepirkuma identifikācijas Nr. LNP 2024/11, nolikumam</w:t>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t>TEHNISKĀ SPECIFIKĀCIJA</w:t>
      </w:r>
    </w:p>
    <w:p>
      <w:pPr>
        <w:pStyle w:val="ListParagraph"/>
        <w:ind w:left="0" w:hanging="0"/>
        <w:jc w:val="both"/>
        <w:rPr>
          <w:rFonts w:ascii="Times New Roman" w:hAnsi="Times New Roman"/>
          <w:b/>
          <w:b/>
          <w:szCs w:val="24"/>
        </w:rPr>
      </w:pPr>
      <w:r>
        <w:rPr>
          <w:rFonts w:ascii="Times New Roman" w:hAnsi="Times New Roman"/>
          <w:b/>
          <w:szCs w:val="24"/>
        </w:rPr>
      </w:r>
    </w:p>
    <w:p>
      <w:pPr>
        <w:pStyle w:val="ListParagraph"/>
        <w:numPr>
          <w:ilvl w:val="0"/>
          <w:numId w:val="27"/>
        </w:numPr>
        <w:jc w:val="both"/>
        <w:rPr>
          <w:rFonts w:ascii="Times New Roman" w:hAnsi="Times New Roman"/>
          <w:szCs w:val="24"/>
        </w:rPr>
      </w:pPr>
      <w:r>
        <w:rPr>
          <w:rFonts w:ascii="Times New Roman" w:hAnsi="Times New Roman"/>
          <w:szCs w:val="24"/>
        </w:rPr>
        <w:t xml:space="preserve">Pretendentam jānodrošina nekustamā īpašuma (objekta) </w:t>
      </w:r>
      <w:r>
        <w:rPr>
          <w:rFonts w:eastAsia="Calibri" w:ascii="Times New Roman" w:hAnsi="Times New Roman"/>
          <w:szCs w:val="24"/>
        </w:rPr>
        <w:t xml:space="preserve">atsavināšanas (pirkšana, pārdošana, maiņa) tirgus cenas vai tirgus nomas maksas (pēc pasūtītāja pieprasījuma) noteikšanu un rakstveida atzinuma par vērtējamā objekta visvairāk iespējamo atsavināšanas tirgus cenu vai tirgus nomas maksu (pēc pasūtītāja pieprasījuma) </w:t>
      </w:r>
      <w:r>
        <w:rPr>
          <w:rFonts w:ascii="Times New Roman" w:hAnsi="Times New Roman"/>
          <w:szCs w:val="24"/>
        </w:rPr>
        <w:t>izgatavošanas pakalpojumu.</w:t>
      </w:r>
    </w:p>
    <w:p>
      <w:pPr>
        <w:pStyle w:val="ListParagraph"/>
        <w:numPr>
          <w:ilvl w:val="0"/>
          <w:numId w:val="27"/>
        </w:numPr>
        <w:jc w:val="both"/>
        <w:rPr>
          <w:rFonts w:ascii="Times New Roman" w:hAnsi="Times New Roman"/>
          <w:szCs w:val="24"/>
        </w:rPr>
      </w:pPr>
      <w:r>
        <w:rPr>
          <w:rFonts w:ascii="Times New Roman" w:hAnsi="Times New Roman"/>
          <w:szCs w:val="24"/>
        </w:rPr>
        <w:t>Novērtējumi jāizstrādā atbilstoši Standartizācijas likumā noteiktajā kārtībā apstiprinātiem Latvijas īpašuma vērtēšanas standartiem un citiem Latvijas Republikas normatīvajiem aktiem, papildus ņemot vērā nosacījumus, kas noteikti šādos tiesību aktos:</w:t>
      </w:r>
    </w:p>
    <w:p>
      <w:pPr>
        <w:pStyle w:val="ListParagraph"/>
        <w:numPr>
          <w:ilvl w:val="1"/>
          <w:numId w:val="27"/>
        </w:numPr>
        <w:ind w:left="1276" w:hanging="425"/>
        <w:jc w:val="both"/>
        <w:rPr>
          <w:rFonts w:ascii="Times New Roman" w:hAnsi="Times New Roman"/>
          <w:szCs w:val="24"/>
        </w:rPr>
      </w:pPr>
      <w:r>
        <w:rPr>
          <w:rFonts w:ascii="Times New Roman" w:hAnsi="Times New Roman"/>
          <w:szCs w:val="24"/>
        </w:rPr>
        <w:t xml:space="preserve">Ministru kabineta 2014. gada 23.septembra noteikumi </w:t>
      </w:r>
      <w:r>
        <w:rPr/>
        <w:drawing>
          <wp:inline distT="0" distB="0" distL="0" distR="0">
            <wp:extent cx="9525" cy="9525"/>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
                    <pic:cNvPicPr>
                      <a:picLocks noChangeAspect="1" noChangeArrowheads="1"/>
                    </pic:cNvPicPr>
                  </pic:nvPicPr>
                  <pic:blipFill>
                    <a:blip r:embed="rId10"/>
                    <a:stretch>
                      <a:fillRect/>
                    </a:stretch>
                  </pic:blipFill>
                  <pic:spPr bwMode="auto">
                    <a:xfrm>
                      <a:off x="0" y="0"/>
                      <a:ext cx="9525" cy="9525"/>
                    </a:xfrm>
                    <a:prstGeom prst="rect">
                      <a:avLst/>
                    </a:prstGeom>
                  </pic:spPr>
                </pic:pic>
              </a:graphicData>
            </a:graphic>
          </wp:inline>
        </w:drawing>
      </w:r>
      <w:r>
        <w:rPr/>
        <w:drawing>
          <wp:inline distT="0" distB="0" distL="0" distR="0">
            <wp:extent cx="57150" cy="57150"/>
            <wp:effectExtent l="0" t="0" r="0" b="0"/>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11"/>
                    <a:stretch>
                      <a:fillRect/>
                    </a:stretch>
                  </pic:blipFill>
                  <pic:spPr bwMode="auto">
                    <a:xfrm>
                      <a:off x="0" y="0"/>
                      <a:ext cx="57150" cy="57150"/>
                    </a:xfrm>
                    <a:prstGeom prst="rect">
                      <a:avLst/>
                    </a:prstGeom>
                  </pic:spPr>
                </pic:pic>
              </a:graphicData>
            </a:graphic>
          </wp:inline>
        </w:drawing>
      </w:r>
      <w:r>
        <w:rPr>
          <w:rFonts w:ascii="Times New Roman" w:hAnsi="Times New Roman"/>
          <w:szCs w:val="24"/>
        </w:rPr>
        <w:t xml:space="preserve">Nr. 559 “Prasības nekustamā īpašuma vērtētāja profesionālajai kvalifikācijai un </w:t>
      </w:r>
      <w:r>
        <w:rPr/>
        <w:drawing>
          <wp:inline distT="0" distB="0" distL="0" distR="0">
            <wp:extent cx="9525" cy="9525"/>
            <wp:effectExtent l="0" t="0" r="0" b="0"/>
            <wp:docPr id="5"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
                    <pic:cNvPicPr>
                      <a:picLocks noChangeAspect="1" noChangeArrowheads="1"/>
                    </pic:cNvPicPr>
                  </pic:nvPicPr>
                  <pic:blipFill>
                    <a:blip r:embed="rId12"/>
                    <a:stretch>
                      <a:fillRect/>
                    </a:stretch>
                  </pic:blipFill>
                  <pic:spPr bwMode="auto">
                    <a:xfrm>
                      <a:off x="0" y="0"/>
                      <a:ext cx="9525" cy="9525"/>
                    </a:xfrm>
                    <a:prstGeom prst="rect">
                      <a:avLst/>
                    </a:prstGeom>
                  </pic:spPr>
                </pic:pic>
              </a:graphicData>
            </a:graphic>
          </wp:inline>
        </w:drawing>
      </w:r>
      <w:r>
        <w:rPr>
          <w:rFonts w:ascii="Times New Roman" w:hAnsi="Times New Roman"/>
          <w:szCs w:val="24"/>
        </w:rPr>
        <w:t xml:space="preserve"> profesionālās kvalifikācijas sertifikāta izsniegšanas kārtība”;</w:t>
      </w:r>
    </w:p>
    <w:p>
      <w:pPr>
        <w:pStyle w:val="ListParagraph"/>
        <w:numPr>
          <w:ilvl w:val="1"/>
          <w:numId w:val="27"/>
        </w:numPr>
        <w:ind w:left="1276" w:hanging="425"/>
        <w:jc w:val="both"/>
        <w:rPr>
          <w:rFonts w:ascii="Times New Roman" w:hAnsi="Times New Roman"/>
          <w:szCs w:val="24"/>
        </w:rPr>
      </w:pPr>
      <w:r>
        <w:rPr>
          <w:rFonts w:ascii="Times New Roman" w:hAnsi="Times New Roman"/>
          <w:szCs w:val="24"/>
        </w:rPr>
        <w:t xml:space="preserve">Novērtējamā objekta vērtēšanā </w:t>
      </w:r>
      <w:r>
        <w:rPr>
          <w:rFonts w:ascii="Times New Roman" w:hAnsi="Times New Roman"/>
          <w:color w:val="000000"/>
          <w:szCs w:val="24"/>
        </w:rPr>
        <w:t>izmanto vienu vai vairākas LVS 401:2013 standartā noteiktās pamata vērtēšanas pieejas (LVS 401:2013 3. sadaļa), ņemot vērā vērtējamā objekta raksturu, izmantošanas veidu un pieejamo tirgus informācijas apjomu.</w:t>
      </w:r>
    </w:p>
    <w:p>
      <w:pPr>
        <w:pStyle w:val="ListParagraph"/>
        <w:numPr>
          <w:ilvl w:val="0"/>
          <w:numId w:val="27"/>
        </w:numPr>
        <w:jc w:val="both"/>
        <w:rPr>
          <w:rFonts w:ascii="Times New Roman" w:hAnsi="Times New Roman"/>
          <w:szCs w:val="24"/>
        </w:rPr>
      </w:pPr>
      <w:r>
        <w:rPr>
          <w:rFonts w:ascii="Times New Roman" w:hAnsi="Times New Roman"/>
          <w:szCs w:val="24"/>
        </w:rPr>
        <w:t>Darba uzdevumi:</w:t>
      </w:r>
    </w:p>
    <w:p>
      <w:pPr>
        <w:pStyle w:val="Normal"/>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3.1. jā</w:t>
      </w:r>
      <w:r>
        <w:rPr>
          <w:rFonts w:cs="Calibri" w:ascii="Times New Roman" w:hAnsi="Times New Roman"/>
          <w:sz w:val="24"/>
          <w:szCs w:val="24"/>
          <w:lang w:eastAsia="ar-SA"/>
        </w:rPr>
        <w:t>veic nekustamā īpašuma apsekošanu</w:t>
      </w:r>
      <w:r>
        <w:rPr>
          <w:rFonts w:cs="Times New Roman" w:ascii="Times New Roman" w:hAnsi="Times New Roman"/>
          <w:color w:val="000000"/>
          <w:sz w:val="24"/>
          <w:szCs w:val="24"/>
        </w:rPr>
        <w:t>;</w:t>
      </w:r>
    </w:p>
    <w:p>
      <w:pPr>
        <w:pStyle w:val="Normal"/>
        <w:ind w:left="1134" w:hanging="1134"/>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3.2.jā</w:t>
      </w:r>
      <w:r>
        <w:rPr>
          <w:rFonts w:cs="Calibri" w:ascii="Times New Roman" w:hAnsi="Times New Roman"/>
          <w:sz w:val="24"/>
          <w:szCs w:val="24"/>
          <w:lang w:eastAsia="ar-SA"/>
        </w:rPr>
        <w:t>pieprasa un jāsaņem nekustamā īpašuma vērtēšanai nepieciešamo informāciju no attiecīgās iestādēm un Pasūtītāja</w:t>
      </w:r>
      <w:r>
        <w:rPr>
          <w:rFonts w:cs="Times New Roman" w:ascii="Times New Roman" w:hAnsi="Times New Roman"/>
          <w:color w:val="000000"/>
          <w:sz w:val="24"/>
          <w:szCs w:val="24"/>
        </w:rPr>
        <w:t>;</w:t>
      </w:r>
    </w:p>
    <w:p>
      <w:pPr>
        <w:pStyle w:val="Normal"/>
        <w:ind w:left="1134" w:hanging="1134"/>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3.3. jānosaka nekustamā īpašuma tirgus vērtība;</w:t>
      </w:r>
    </w:p>
    <w:p>
      <w:pPr>
        <w:pStyle w:val="Normal"/>
        <w:ind w:left="1134" w:hanging="1134"/>
        <w:jc w:val="both"/>
        <w:rPr>
          <w:rFonts w:ascii="Times New Roman" w:hAnsi="Times New Roman" w:cs="Calibri"/>
          <w:sz w:val="24"/>
          <w:szCs w:val="24"/>
          <w:lang w:eastAsia="ar-SA"/>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3.4. jā</w:t>
      </w:r>
      <w:r>
        <w:rPr>
          <w:rFonts w:cs="Calibri" w:ascii="Times New Roman" w:hAnsi="Times New Roman"/>
          <w:sz w:val="24"/>
          <w:szCs w:val="24"/>
          <w:lang w:eastAsia="ar-SA"/>
        </w:rPr>
        <w:t>sniedz Pasūtītājam rakstveida atzinumu par nekustamā īpašuma tirgus vērtību.</w:t>
      </w:r>
    </w:p>
    <w:p>
      <w:pPr>
        <w:pStyle w:val="ListParagraph"/>
        <w:numPr>
          <w:ilvl w:val="0"/>
          <w:numId w:val="27"/>
        </w:numPr>
        <w:jc w:val="both"/>
        <w:rPr>
          <w:rFonts w:ascii="Times New Roman" w:hAnsi="Times New Roman" w:cs="Arial"/>
          <w:sz w:val="22"/>
          <w:szCs w:val="24"/>
        </w:rPr>
      </w:pPr>
      <w:r>
        <w:rPr>
          <w:rFonts w:ascii="Times New Roman" w:hAnsi="Times New Roman"/>
          <w:szCs w:val="24"/>
        </w:rPr>
        <w:t xml:space="preserve">Nekustamā īpašuma vērtēšana jāveic 15 (piecpadsmit) darba dienu laikā pēc Pasūtītāja pieprasījuma (darba uzdevuma)  saņemšanas. </w:t>
      </w:r>
      <w:r>
        <w:rPr>
          <w:rFonts w:ascii="Times New Roman" w:hAnsi="Times New Roman"/>
          <w:color w:val="000000"/>
          <w:szCs w:val="24"/>
        </w:rPr>
        <w:t xml:space="preserve">Pasūtītāja izsniegtajos darba uzdevumos tiks norādīts konkrētais objekts un veicamais darbs. Kopā ar darba uzdevumu pasūtītājs izpildītājam </w:t>
      </w:r>
      <w:r>
        <w:rPr>
          <w:rFonts w:ascii="Times New Roman" w:hAnsi="Times New Roman"/>
          <w:color w:val="000000" w:themeColor="text1"/>
          <w:szCs w:val="24"/>
        </w:rPr>
        <w:t>izsniegs visus darba uzdevuma izpildei nepieciešamos viņa rīcībā esošos dokumentus, kas nepieciešami, lai varētu tikt uzsākta darba uzdevuma izpildi.</w:t>
      </w:r>
    </w:p>
    <w:p>
      <w:pPr>
        <w:pStyle w:val="ListParagraph"/>
        <w:numPr>
          <w:ilvl w:val="0"/>
          <w:numId w:val="27"/>
        </w:numPr>
        <w:jc w:val="both"/>
        <w:rPr>
          <w:rFonts w:ascii="Times New Roman" w:hAnsi="Times New Roman" w:cs="Arial"/>
          <w:sz w:val="22"/>
          <w:szCs w:val="24"/>
        </w:rPr>
      </w:pPr>
      <w:r>
        <w:rPr>
          <w:rFonts w:eastAsia="Calibri" w:ascii="Times New Roman" w:hAnsi="Times New Roman"/>
          <w:color w:val="000000" w:themeColor="text1"/>
          <w:szCs w:val="24"/>
        </w:rPr>
        <w:t>Pakalpojums jāsniedz kvalitatīvi, aprakstot izmantoto vērtēšanas metodiku un pievienojot nepieciešamos materiālus / dokumentus  vai to kopijas;</w:t>
      </w:r>
      <w:r>
        <w:rPr>
          <w:rFonts w:ascii="Times New Roman" w:hAnsi="Times New Roman"/>
          <w:color w:val="000000" w:themeColor="text1"/>
          <w:szCs w:val="24"/>
        </w:rPr>
        <w:t xml:space="preserve"> </w:t>
      </w:r>
    </w:p>
    <w:p>
      <w:pPr>
        <w:pStyle w:val="ListParagraph"/>
        <w:numPr>
          <w:ilvl w:val="0"/>
          <w:numId w:val="27"/>
        </w:numPr>
        <w:jc w:val="both"/>
        <w:rPr>
          <w:rFonts w:ascii="Times New Roman" w:hAnsi="Times New Roman" w:cs="Arial"/>
          <w:sz w:val="22"/>
          <w:szCs w:val="24"/>
        </w:rPr>
      </w:pPr>
      <w:r>
        <w:rPr>
          <w:rFonts w:ascii="Times New Roman" w:hAnsi="Times New Roman"/>
          <w:color w:val="000000" w:themeColor="text1"/>
          <w:szCs w:val="24"/>
        </w:rPr>
        <w:t xml:space="preserve">Nekustamo īpašumu tirgus vērtības noteikšanas aprēķini, atbilstošie dokumenti, informatīvais materiāls jānoformē kā vienots dokuments. </w:t>
      </w:r>
    </w:p>
    <w:p>
      <w:pPr>
        <w:pStyle w:val="ListParagraph"/>
        <w:numPr>
          <w:ilvl w:val="0"/>
          <w:numId w:val="27"/>
        </w:numPr>
        <w:jc w:val="both"/>
        <w:rPr>
          <w:rFonts w:ascii="Times New Roman" w:hAnsi="Times New Roman" w:cs="Arial"/>
          <w:sz w:val="22"/>
          <w:szCs w:val="24"/>
        </w:rPr>
      </w:pPr>
      <w:r>
        <w:rPr>
          <w:rFonts w:eastAsia="Calibri" w:ascii="Times New Roman" w:hAnsi="Times New Roman"/>
          <w:color w:val="000000" w:themeColor="text1"/>
          <w:szCs w:val="24"/>
        </w:rPr>
        <w:t xml:space="preserve">Vērtējuma atskaitē jāsniedz visas apbūves apraksts un raksturojums, jāatspoguļo būtiskākie vērtību ietekmējošie faktori un pieņēmumi, argumentēti </w:t>
      </w:r>
      <w:r>
        <w:rPr>
          <w:rFonts w:eastAsia="Calibri" w:ascii="Times New Roman" w:hAnsi="Times New Roman"/>
          <w:color w:val="000000"/>
          <w:szCs w:val="24"/>
        </w:rPr>
        <w:t>jāpamato slēdziens par vērtējamā objekta tirgus (atsavināšanas) vērtību, t. sk., aprakstot izmantoto vērtēšanas metodiku un veikto aprēķinu gaitu.</w:t>
      </w:r>
    </w:p>
    <w:p>
      <w:pPr>
        <w:pStyle w:val="ListParagraph"/>
        <w:numPr>
          <w:ilvl w:val="0"/>
          <w:numId w:val="27"/>
        </w:numPr>
        <w:jc w:val="both"/>
        <w:rPr>
          <w:rFonts w:ascii="Times New Roman" w:hAnsi="Times New Roman" w:cs="Arial"/>
          <w:sz w:val="22"/>
          <w:szCs w:val="24"/>
        </w:rPr>
      </w:pPr>
      <w:r>
        <w:rPr>
          <w:rFonts w:ascii="Times New Roman" w:hAnsi="Times New Roman"/>
          <w:szCs w:val="24"/>
        </w:rPr>
        <w:t>Vērtētājs bez maksas nepieciešamajā apjomā, sniedz pasūtītājam mutiskas vai rakstveida konsultācijas jautājumos, kas saistīti ar atsevišķo (konkrēto) nekustamo īpašumu tirgus vērtības noteikšanu.</w:t>
      </w:r>
    </w:p>
    <w:p>
      <w:pPr>
        <w:pStyle w:val="ListParagraph"/>
        <w:numPr>
          <w:ilvl w:val="0"/>
          <w:numId w:val="27"/>
        </w:numPr>
        <w:jc w:val="both"/>
        <w:rPr>
          <w:rFonts w:ascii="Times New Roman" w:hAnsi="Times New Roman" w:cs="Arial"/>
          <w:sz w:val="22"/>
          <w:szCs w:val="24"/>
        </w:rPr>
      </w:pPr>
      <w:r>
        <w:rPr>
          <w:rFonts w:ascii="Times New Roman" w:hAnsi="Times New Roman"/>
          <w:szCs w:val="24"/>
        </w:rPr>
        <w:t>Pirms darba nodošanas - pieņemšanas akta parakstīšanas Pasūtītājam ir tiesības prasīt pakalpojumu sniedzējam papildinājumus, paskaidrojumus par jebkuru izpildīto darbu, kā arī uzdot novērst  neprecizitātes.</w:t>
      </w:r>
    </w:p>
    <w:p>
      <w:pPr>
        <w:pStyle w:val="ListParagraph"/>
        <w:numPr>
          <w:ilvl w:val="0"/>
          <w:numId w:val="27"/>
        </w:numPr>
        <w:jc w:val="both"/>
        <w:rPr>
          <w:rFonts w:ascii="Times New Roman" w:hAnsi="Times New Roman" w:cs="Arial"/>
          <w:sz w:val="22"/>
          <w:szCs w:val="24"/>
        </w:rPr>
      </w:pPr>
      <w:r>
        <w:rPr>
          <w:rFonts w:ascii="Times New Roman" w:hAnsi="Times New Roman"/>
          <w:szCs w:val="24"/>
        </w:rPr>
        <w:t xml:space="preserve"> </w:t>
      </w:r>
      <w:r>
        <w:rPr>
          <w:rFonts w:ascii="Times New Roman" w:hAnsi="Times New Roman"/>
          <w:szCs w:val="24"/>
        </w:rPr>
        <w:t>Pasūtītājs ir tiesīgs uzdot pakalpojumu sniedzējam bez papildu samaksas papildināt sagatavoto novērtējumu, izmantot papildu vērtēšanas metodes un sagatavot  citu prasīto informāciju un skaidrojumu.</w:t>
      </w:r>
    </w:p>
    <w:p>
      <w:pPr>
        <w:pStyle w:val="ListParagraph"/>
        <w:numPr>
          <w:ilvl w:val="0"/>
          <w:numId w:val="27"/>
        </w:numPr>
        <w:jc w:val="both"/>
        <w:rPr>
          <w:rFonts w:ascii="Times New Roman" w:hAnsi="Times New Roman" w:cs="Arial"/>
          <w:sz w:val="22"/>
          <w:szCs w:val="24"/>
        </w:rPr>
      </w:pPr>
      <w:r>
        <w:rPr>
          <w:rFonts w:ascii="Times New Roman" w:hAnsi="Times New Roman"/>
          <w:szCs w:val="24"/>
        </w:rPr>
        <w:t>Pakalpojumu sniedzējs bez papildu samaksas Pasūtītājam nepieciešamajā apjomā mutiski vai rakstiski konsultē Pasūtītāju jautājumos, kas saistīti ar atsevišķo objektu tirgus vērtības noteikšanu, ieguldījumu (nepieciešamie ieguldījumi, nomniekam atlīdzināmie izdevumi un pircēja investīcijas objektā) novērtēšanu nekustamajā īpašumā.</w:t>
      </w:r>
    </w:p>
    <w:p>
      <w:pPr>
        <w:pStyle w:val="ListParagraph"/>
        <w:numPr>
          <w:ilvl w:val="0"/>
          <w:numId w:val="27"/>
        </w:numPr>
        <w:jc w:val="both"/>
        <w:rPr>
          <w:rFonts w:ascii="Times New Roman" w:hAnsi="Times New Roman" w:cs="Arial"/>
          <w:sz w:val="22"/>
          <w:szCs w:val="24"/>
        </w:rPr>
      </w:pPr>
      <w:r>
        <w:rPr>
          <w:rFonts w:ascii="Times New Roman" w:hAnsi="Times New Roman"/>
          <w:color w:val="000000"/>
          <w:szCs w:val="24"/>
        </w:rPr>
        <w:t>Pēc darba pieņemšanas pasūtītājam ir tiesības uzdot izpildītājam aktualizēt objekta novērtējumu, ja rodas tāda nepieciešamība. Izpildītājs objekta novērtējuma aktualizāciju apņemas veikt 10 (desmit) darba dienu laikā. Ja objekta stāvoklis nav mainījies un tirgus vērtības noteikšana jāveic 6 (sešu) mēnešu laikā no pieņemšanas-nodošanas akta abpusējas parakstīšanas dienas, darba samaksa objekta novērtējuma aktualizācijai netiek paredzēta.</w:t>
      </w:r>
    </w:p>
    <w:p>
      <w:pPr>
        <w:pStyle w:val="ListParagraph"/>
        <w:numPr>
          <w:ilvl w:val="0"/>
          <w:numId w:val="27"/>
        </w:numPr>
        <w:jc w:val="both"/>
        <w:rPr>
          <w:rFonts w:ascii="Times New Roman" w:hAnsi="Times New Roman" w:cs="Arial"/>
          <w:sz w:val="22"/>
          <w:szCs w:val="24"/>
        </w:rPr>
      </w:pPr>
      <w:r>
        <w:rPr>
          <w:rFonts w:ascii="Times New Roman" w:hAnsi="Times New Roman"/>
          <w:b/>
          <w:color w:val="000000"/>
          <w:szCs w:val="24"/>
        </w:rPr>
        <w:t>Darbu iedalījums:</w:t>
      </w:r>
    </w:p>
    <w:tbl>
      <w:tblPr>
        <w:tblW w:w="9497" w:type="dxa"/>
        <w:jc w:val="left"/>
        <w:tblInd w:w="392" w:type="dxa"/>
        <w:tblLayout w:type="fixed"/>
        <w:tblCellMar>
          <w:top w:w="0" w:type="dxa"/>
          <w:left w:w="108" w:type="dxa"/>
          <w:bottom w:w="0" w:type="dxa"/>
          <w:right w:w="108" w:type="dxa"/>
        </w:tblCellMar>
        <w:tblLook w:firstRow="1" w:noVBand="1" w:lastRow="0" w:firstColumn="1" w:lastColumn="0" w:noHBand="0" w:val="04a0"/>
      </w:tblPr>
      <w:tblGrid>
        <w:gridCol w:w="849"/>
        <w:gridCol w:w="5668"/>
        <w:gridCol w:w="2980"/>
      </w:tblGrid>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Nr. p.k.</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Novērtējuma objekts</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
                <w:b/>
                <w:sz w:val="24"/>
                <w:szCs w:val="24"/>
              </w:rPr>
            </w:pPr>
            <w:r>
              <w:rPr>
                <w:rFonts w:cs="Times New Roman" w:ascii="Times New Roman" w:hAnsi="Times New Roman"/>
                <w:b/>
                <w:sz w:val="24"/>
                <w:szCs w:val="24"/>
              </w:rPr>
              <w:t>Mērvienība</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w:t>
            </w:r>
          </w:p>
        </w:tc>
        <w:tc>
          <w:tcPr>
            <w:tcW w:w="86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Nekustamā īpašuma tirgus vērtības noteikšana</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1.1.</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dzīvojamās ēkas (būves) un palīgēkām</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1.2.</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nedzīvojamās ēkas (ēkām)</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rHeight w:val="519" w:hRule="atLeast"/>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1.3.</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1.4.</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mežaudzes</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1.5.</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dzīvojamās ēkas (būves), palīgēkām</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1.6.</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nedzīvojamās ēkas (ēkām)</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rHeight w:val="756" w:hRule="atLeast"/>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1.7.</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dzīvojamās telpu grupas (dzīvoklis) vai nedzīvojamās telpu grupas (piemēram, garāža)</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rHeight w:val="373" w:hRule="atLeast"/>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1.8.</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Inženierbūves – ceļa, laukumu, inženiertīklu u.c. vērtības novērtēšana</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w:t>
            </w:r>
          </w:p>
        </w:tc>
        <w:tc>
          <w:tcPr>
            <w:tcW w:w="86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color w:val="000000" w:themeColor="text1"/>
                <w:sz w:val="24"/>
                <w:szCs w:val="24"/>
              </w:rPr>
            </w:pPr>
            <w:r>
              <w:rPr>
                <w:rFonts w:cs="Times New Roman" w:ascii="Times New Roman" w:hAnsi="Times New Roman"/>
                <w:b/>
                <w:bCs/>
                <w:color w:val="000000" w:themeColor="text1"/>
                <w:sz w:val="24"/>
                <w:szCs w:val="24"/>
              </w:rPr>
              <w:t>Nekustamā īpašuma nomas un apbūves tiesību maksas tirgus vērtības noteikšana</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2.1.</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Neapbūvētas zemes vienības nomas maksas tirgus vērtības noteikšana izziņas veidā, bez apsekošanas dabā</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2.2.</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Ēku (būvju) nomas maksas tirgus vērtības noteikšana izziņas veidā</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2.3.</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līdz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2.4.</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virs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3.</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Nekustamā īpašuma vērtējums ieguldīšanai kapitālsabiedrības pamatkapitālā vai biznesa vērtējums</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r>
        <w:trPr/>
        <w:tc>
          <w:tcPr>
            <w:tcW w:w="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4.</w:t>
            </w:r>
          </w:p>
        </w:tc>
        <w:tc>
          <w:tcPr>
            <w:tcW w:w="56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Apbūves tiesību maksas vērtējuma noteikšana izziņas veidā</w:t>
            </w:r>
          </w:p>
        </w:tc>
        <w:tc>
          <w:tcPr>
            <w:tcW w:w="298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r>
    </w:tbl>
    <w:p>
      <w:pPr>
        <w:pStyle w:val="Normal"/>
        <w:spacing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5. Parakstīti rakstveida atzinumi nosūtāmi uz elektronisko pasta adresi – </w:t>
      </w:r>
      <w:hyperlink r:id="rId13">
        <w:r>
          <w:rPr>
            <w:rStyle w:val="Hipersaite1"/>
            <w:rFonts w:cs="Times New Roman" w:ascii="Times New Roman" w:hAnsi="Times New Roman"/>
            <w:sz w:val="24"/>
            <w:szCs w:val="24"/>
          </w:rPr>
          <w:t>pasts@limbazunovads.lv</w:t>
        </w:r>
      </w:hyperlink>
      <w:r>
        <w:rPr>
          <w:rFonts w:cs="Times New Roman" w:ascii="Times New Roman" w:hAnsi="Times New Roman"/>
          <w:color w:val="0000FF"/>
          <w:sz w:val="24"/>
          <w:szCs w:val="24"/>
          <w:u w:val="single"/>
        </w:rPr>
        <w:t xml:space="preserve">, </w:t>
      </w:r>
      <w:r>
        <w:rPr>
          <w:rFonts w:cs="Times New Roman" w:ascii="Times New Roman" w:hAnsi="Times New Roman"/>
          <w:color w:val="0000FF"/>
          <w:sz w:val="24"/>
          <w:szCs w:val="24"/>
        </w:rPr>
        <w:t xml:space="preserve"> </w:t>
      </w:r>
      <w:hyperlink r:id="rId14">
        <w:r>
          <w:rPr>
            <w:rStyle w:val="Hipersaite1"/>
            <w:rFonts w:cs="Times New Roman" w:ascii="Times New Roman" w:hAnsi="Times New Roman"/>
            <w:sz w:val="24"/>
            <w:szCs w:val="24"/>
          </w:rPr>
          <w:t>liga.vilcinska@limbazunovads.lv</w:t>
        </w:r>
      </w:hyperlink>
      <w:r>
        <w:rPr>
          <w:rFonts w:cs="Times New Roman" w:ascii="Times New Roman" w:hAnsi="Times New Roman"/>
          <w:color w:val="000000"/>
          <w:sz w:val="24"/>
          <w:szCs w:val="24"/>
        </w:rPr>
        <w:t xml:space="preserve"> un jāiesniedz Pasūtītājam </w:t>
      </w:r>
      <w:r>
        <w:rPr>
          <w:rFonts w:cs="Times New Roman" w:ascii="Times New Roman" w:hAnsi="Times New Roman"/>
          <w:sz w:val="24"/>
          <w:szCs w:val="24"/>
        </w:rPr>
        <w:t>1 drukāts</w:t>
      </w:r>
      <w:r>
        <w:rPr>
          <w:rFonts w:cs="Times New Roman" w:ascii="Times New Roman" w:hAnsi="Times New Roman"/>
          <w:color w:val="FF0000"/>
          <w:sz w:val="24"/>
          <w:szCs w:val="24"/>
        </w:rPr>
        <w:t xml:space="preserve"> </w:t>
      </w:r>
      <w:r>
        <w:rPr>
          <w:rFonts w:cs="Times New Roman" w:ascii="Times New Roman" w:hAnsi="Times New Roman"/>
          <w:color w:val="000000"/>
          <w:sz w:val="24"/>
          <w:szCs w:val="24"/>
        </w:rPr>
        <w:t>eksemplārs.</w:t>
      </w:r>
    </w:p>
    <w:p>
      <w:pPr>
        <w:pStyle w:val="Normal"/>
        <w:widowControl w:val="false"/>
        <w:jc w:val="both"/>
        <w:rPr>
          <w:rFonts w:ascii="Times New Roman" w:hAnsi="Times New Roman" w:cs="Times New Roman"/>
          <w:bCs/>
          <w:sz w:val="24"/>
          <w:szCs w:val="24"/>
        </w:rPr>
      </w:pPr>
      <w:r>
        <w:rPr>
          <w:rFonts w:cs="Times New Roman" w:ascii="Times New Roman" w:hAnsi="Times New Roman"/>
          <w:bCs/>
          <w:sz w:val="24"/>
          <w:szCs w:val="24"/>
        </w:rPr>
      </w:r>
    </w:p>
    <w:p>
      <w:pPr>
        <w:sectPr>
          <w:headerReference w:type="default" r:id="rId15"/>
          <w:footerReference w:type="default" r:id="rId16"/>
          <w:type w:val="nextPage"/>
          <w:pgSz w:w="11906" w:h="16838"/>
          <w:pgMar w:left="1560" w:right="567" w:gutter="0" w:header="720" w:top="993" w:footer="720" w:bottom="777"/>
          <w:pgNumType w:fmt="decimal"/>
          <w:formProt w:val="false"/>
          <w:titlePg/>
          <w:textDirection w:val="lrTb"/>
          <w:docGrid w:type="default" w:linePitch="381" w:charSpace="20480"/>
        </w:sectPr>
        <w:pStyle w:val="Normal"/>
        <w:rPr/>
      </w:pPr>
      <w:r>
        <w:rPr>
          <w:rFonts w:cs="Times New Roman" w:ascii="Times New Roman" w:hAnsi="Times New Roman"/>
          <w:b/>
          <w:sz w:val="24"/>
          <w:szCs w:val="24"/>
        </w:rPr>
        <w:t>Tehniskā specifikācija sagatavota 2024.gada 11.janvārī</w:t>
      </w:r>
      <w:r>
        <w:br w:type="page"/>
      </w:r>
    </w:p>
    <w:p>
      <w:pPr>
        <w:pStyle w:val="ListParagraph"/>
        <w:jc w:val="right"/>
        <w:rPr>
          <w:rFonts w:ascii="Times New Roman" w:hAnsi="Times New Roman"/>
          <w:b/>
          <w:b/>
          <w:szCs w:val="24"/>
        </w:rPr>
      </w:pPr>
      <w:r>
        <w:rPr>
          <w:rFonts w:ascii="Times New Roman" w:hAnsi="Times New Roman"/>
          <w:b/>
          <w:szCs w:val="24"/>
        </w:rPr>
        <w:t>3.pielikums</w:t>
      </w:r>
    </w:p>
    <w:p>
      <w:pPr>
        <w:pStyle w:val="Normal"/>
        <w:jc w:val="right"/>
        <w:rPr>
          <w:rFonts w:ascii="Times New Roman" w:hAnsi="Times New Roman"/>
        </w:rPr>
      </w:pPr>
      <w:r>
        <w:rPr>
          <w:rFonts w:cs="Times New Roman" w:ascii="Times New Roman" w:hAnsi="Times New Roman"/>
          <w:sz w:val="24"/>
          <w:szCs w:val="24"/>
        </w:rPr>
        <w:t xml:space="preserve">iepirkuma „Nekustamā īpašuma tirgus vērtības, tirgus nomas maksas noteikšana un rakstveida atzinuma izgatavošanas pakalpojumi”, </w:t>
      </w:r>
    </w:p>
    <w:p>
      <w:pPr>
        <w:pStyle w:val="Normal"/>
        <w:jc w:val="right"/>
        <w:rPr>
          <w:rFonts w:ascii="Times New Roman" w:hAnsi="Times New Roman"/>
        </w:rPr>
      </w:pPr>
      <w:r>
        <w:rPr>
          <w:rFonts w:cs="Times New Roman" w:ascii="Times New Roman" w:hAnsi="Times New Roman"/>
          <w:sz w:val="24"/>
        </w:rPr>
        <w:t>iepirkuma identifikācijas Nr. LNP 2024/11, nolikumam</w:t>
      </w:r>
    </w:p>
    <w:p>
      <w:pPr>
        <w:pStyle w:val="Normal"/>
        <w:rPr>
          <w:rFonts w:ascii="Times New Roman" w:hAnsi="Times New Roman"/>
          <w:b/>
          <w:b/>
          <w:szCs w:val="24"/>
        </w:rPr>
      </w:pPr>
      <w:r>
        <w:rPr>
          <w:rFonts w:ascii="Times New Roman" w:hAnsi="Times New Roman"/>
          <w:b/>
          <w:szCs w:val="24"/>
        </w:rPr>
      </w:r>
    </w:p>
    <w:p>
      <w:pPr>
        <w:pStyle w:val="Normal"/>
        <w:jc w:val="center"/>
        <w:rPr>
          <w:rFonts w:ascii="Times New Roman" w:hAnsi="Times New Roman"/>
          <w:b/>
          <w:b/>
          <w:szCs w:val="24"/>
        </w:rPr>
      </w:pPr>
      <w:r>
        <w:rPr>
          <w:rFonts w:ascii="Times New Roman" w:hAnsi="Times New Roman"/>
          <w:b/>
          <w:szCs w:val="24"/>
        </w:rPr>
        <w:t>IEPIRKUMA LĪGUMA PROJEKTS</w:t>
      </w:r>
    </w:p>
    <w:p>
      <w:pPr>
        <w:pStyle w:val="Normal"/>
        <w:rPr>
          <w:lang w:eastAsia="en-US"/>
        </w:rPr>
      </w:pPr>
      <w:r>
        <w:rPr>
          <w:lang w:eastAsia="en-US"/>
        </w:rPr>
      </w:r>
    </w:p>
    <w:p>
      <w:pPr>
        <w:pStyle w:val="Normal"/>
        <w:shd w:val="clear" w:color="auto" w:fill="FFFFFF"/>
        <w:ind w:left="7" w:right="140" w:hanging="0"/>
        <w:jc w:val="center"/>
        <w:rPr>
          <w:rFonts w:ascii="Times New Roman" w:hAnsi="Times New Roman" w:cs="Times New Roman"/>
          <w:b/>
          <w:b/>
          <w:color w:val="000000"/>
          <w:spacing w:val="-1"/>
          <w:sz w:val="24"/>
          <w:szCs w:val="24"/>
        </w:rPr>
      </w:pPr>
      <w:r>
        <w:rPr>
          <w:rFonts w:cs="Times New Roman" w:ascii="Times New Roman" w:hAnsi="Times New Roman"/>
          <w:b/>
          <w:bCs/>
          <w:color w:val="000000"/>
          <w:spacing w:val="-1"/>
          <w:sz w:val="24"/>
          <w:szCs w:val="24"/>
        </w:rPr>
        <w:t xml:space="preserve">LĪGUMS </w:t>
      </w:r>
      <w:r>
        <w:rPr>
          <w:rFonts w:cs="Times New Roman" w:ascii="Times New Roman" w:hAnsi="Times New Roman"/>
          <w:b/>
          <w:color w:val="000000"/>
          <w:spacing w:val="-1"/>
          <w:sz w:val="24"/>
          <w:szCs w:val="24"/>
        </w:rPr>
        <w:t>Nr. _______________</w:t>
      </w:r>
    </w:p>
    <w:p>
      <w:pPr>
        <w:pStyle w:val="Normal"/>
        <w:shd w:val="clear" w:color="auto" w:fill="FFFFFF"/>
        <w:ind w:left="7" w:right="140" w:hanging="0"/>
        <w:jc w:val="center"/>
        <w:rPr>
          <w:rFonts w:ascii="Times New Roman" w:hAnsi="Times New Roman" w:cs="Times New Roman"/>
          <w:b/>
          <w:b/>
          <w:color w:val="000000"/>
          <w:spacing w:val="-1"/>
          <w:sz w:val="24"/>
          <w:szCs w:val="24"/>
        </w:rPr>
      </w:pPr>
      <w:r>
        <w:rPr>
          <w:rFonts w:cs="Times New Roman" w:ascii="Times New Roman" w:hAnsi="Times New Roman"/>
          <w:b/>
          <w:color w:val="000000"/>
          <w:spacing w:val="-1"/>
          <w:sz w:val="24"/>
          <w:szCs w:val="24"/>
        </w:rPr>
      </w:r>
    </w:p>
    <w:p>
      <w:pPr>
        <w:pStyle w:val="Normal"/>
        <w:shd w:val="clear" w:color="auto" w:fill="FFFFFF"/>
        <w:ind w:left="7" w:right="140" w:hanging="0"/>
        <w:jc w:val="both"/>
        <w:rPr>
          <w:rFonts w:ascii="Times New Roman" w:hAnsi="Times New Roman" w:cs="Times New Roman"/>
          <w:color w:val="000000"/>
          <w:sz w:val="24"/>
          <w:szCs w:val="24"/>
        </w:rPr>
      </w:pPr>
      <w:r>
        <w:rPr>
          <w:rFonts w:cs="Times New Roman" w:ascii="Times New Roman" w:hAnsi="Times New Roman"/>
          <w:color w:val="000000"/>
          <w:spacing w:val="-6"/>
          <w:sz w:val="24"/>
          <w:szCs w:val="24"/>
        </w:rPr>
        <w:t>Limbažos</w:t>
      </w:r>
      <w:r>
        <w:rPr>
          <w:rFonts w:cs="Times New Roman" w:ascii="Times New Roman" w:hAnsi="Times New Roman"/>
          <w:color w:val="000000"/>
          <w:sz w:val="24"/>
          <w:szCs w:val="24"/>
        </w:rPr>
        <w:tab/>
        <w:t xml:space="preserve">                                                                             2024. gada ___. ______________</w:t>
      </w:r>
    </w:p>
    <w:p>
      <w:pPr>
        <w:pStyle w:val="Normal"/>
        <w:spacing w:before="240" w:after="0"/>
        <w:ind w:right="141" w:firstLine="539"/>
        <w:jc w:val="both"/>
        <w:rPr>
          <w:rFonts w:ascii="Times New Roman" w:hAnsi="Times New Roman" w:cs="Times New Roman"/>
          <w:sz w:val="24"/>
          <w:szCs w:val="24"/>
        </w:rPr>
      </w:pPr>
      <w:r>
        <w:rPr>
          <w:rFonts w:cs="Times New Roman" w:ascii="Times New Roman" w:hAnsi="Times New Roman"/>
          <w:b/>
          <w:bCs/>
          <w:sz w:val="24"/>
          <w:szCs w:val="24"/>
        </w:rPr>
        <w:t>Limbažu novada pašvaldība</w:t>
      </w:r>
      <w:r>
        <w:rPr>
          <w:rFonts w:cs="Times New Roman" w:ascii="Times New Roman" w:hAnsi="Times New Roman"/>
          <w:sz w:val="24"/>
          <w:szCs w:val="24"/>
        </w:rPr>
        <w:t>, nodokļu maksātāja reģistrācijas Nr. 90009114631,</w:t>
      </w:r>
      <w:r>
        <w:rPr>
          <w:rFonts w:cs="Times New Roman" w:ascii="Times New Roman" w:hAnsi="Times New Roman"/>
          <w:color w:val="000000"/>
          <w:sz w:val="24"/>
          <w:szCs w:val="24"/>
        </w:rPr>
        <w:t xml:space="preserve"> juridiskā adrese: Rīgas iela 16, Limbaži, Limbažu novads, LV-4001, </w:t>
      </w:r>
      <w:r>
        <w:rPr>
          <w:rFonts w:cs="Times New Roman" w:ascii="Times New Roman" w:hAnsi="Times New Roman"/>
          <w:iCs/>
          <w:color w:val="000000"/>
          <w:sz w:val="24"/>
          <w:szCs w:val="24"/>
        </w:rPr>
        <w:t xml:space="preserve">kuras vārdā </w:t>
      </w:r>
      <w:r>
        <w:rPr>
          <w:rFonts w:cs="Times New Roman" w:ascii="Times New Roman" w:hAnsi="Times New Roman"/>
          <w:color w:val="000000"/>
          <w:sz w:val="24"/>
          <w:szCs w:val="24"/>
        </w:rPr>
        <w:t xml:space="preserve">saskaņā ar </w:t>
      </w:r>
      <w:r>
        <w:rPr>
          <w:rFonts w:cs="Times New Roman" w:ascii="Times New Roman" w:hAnsi="Times New Roman"/>
          <w:sz w:val="24"/>
          <w:szCs w:val="24"/>
        </w:rPr>
        <w:t xml:space="preserve">Limbažu novada pašvaldības nolikumu rīkojas </w:t>
      </w:r>
      <w:r>
        <w:rPr>
          <w:rFonts w:cs="Times New Roman" w:ascii="Times New Roman" w:hAnsi="Times New Roman"/>
          <w:iCs/>
          <w:sz w:val="24"/>
          <w:szCs w:val="24"/>
        </w:rPr>
        <w:t xml:space="preserve">pašvaldības izpilddirektors </w:t>
      </w:r>
      <w:r>
        <w:rPr>
          <w:rFonts w:cs="Times New Roman" w:ascii="Times New Roman" w:hAnsi="Times New Roman"/>
          <w:b/>
          <w:iCs/>
          <w:sz w:val="24"/>
          <w:szCs w:val="24"/>
        </w:rPr>
        <w:t>Artis Ārgalis</w:t>
      </w:r>
      <w:r>
        <w:rPr>
          <w:rFonts w:cs="Times New Roman" w:ascii="Times New Roman" w:hAnsi="Times New Roman"/>
          <w:sz w:val="24"/>
          <w:szCs w:val="24"/>
        </w:rPr>
        <w:t xml:space="preserve">, turpmāk tekstā – </w:t>
      </w:r>
      <w:r>
        <w:rPr>
          <w:rFonts w:cs="Times New Roman" w:ascii="Times New Roman" w:hAnsi="Times New Roman"/>
          <w:b/>
          <w:bCs/>
          <w:sz w:val="24"/>
          <w:szCs w:val="24"/>
        </w:rPr>
        <w:t>Pasūtītājs</w:t>
      </w:r>
      <w:r>
        <w:rPr>
          <w:rFonts w:cs="Times New Roman" w:ascii="Times New Roman" w:hAnsi="Times New Roman"/>
          <w:sz w:val="24"/>
          <w:szCs w:val="24"/>
        </w:rPr>
        <w:t>, no vienas puses, un</w:t>
      </w:r>
    </w:p>
    <w:p>
      <w:pPr>
        <w:pStyle w:val="Normal"/>
        <w:ind w:right="140" w:firstLine="567"/>
        <w:jc w:val="both"/>
        <w:rPr>
          <w:rFonts w:ascii="Times New Roman" w:hAnsi="Times New Roman" w:cs="Times New Roman"/>
          <w:sz w:val="24"/>
          <w:szCs w:val="24"/>
        </w:rPr>
      </w:pPr>
      <w:r>
        <w:rPr>
          <w:rFonts w:cs="Times New Roman" w:ascii="Times New Roman" w:hAnsi="Times New Roman"/>
          <w:b/>
          <w:sz w:val="24"/>
          <w:szCs w:val="24"/>
          <w:lang w:eastAsia="en-US"/>
        </w:rPr>
        <w:t xml:space="preserve">____________________ </w:t>
      </w:r>
      <w:r>
        <w:rPr>
          <w:rFonts w:cs="Times New Roman" w:ascii="Times New Roman" w:hAnsi="Times New Roman"/>
          <w:b/>
          <w:i/>
          <w:sz w:val="24"/>
          <w:szCs w:val="24"/>
          <w:lang w:eastAsia="en-US"/>
        </w:rPr>
        <w:t>(Izpildītāja nosaukums)</w:t>
      </w:r>
      <w:r>
        <w:rPr>
          <w:rFonts w:cs="Times New Roman" w:ascii="Times New Roman" w:hAnsi="Times New Roman"/>
          <w:i/>
          <w:sz w:val="24"/>
          <w:szCs w:val="24"/>
          <w:lang w:eastAsia="en-US"/>
        </w:rPr>
        <w:t>,</w:t>
      </w:r>
      <w:r>
        <w:rPr>
          <w:rFonts w:cs="Times New Roman" w:ascii="Times New Roman" w:hAnsi="Times New Roman"/>
          <w:b/>
          <w:sz w:val="24"/>
          <w:szCs w:val="24"/>
          <w:lang w:eastAsia="en-US"/>
        </w:rPr>
        <w:t xml:space="preserve"> </w:t>
      </w:r>
      <w:r>
        <w:rPr>
          <w:rFonts w:cs="Times New Roman" w:ascii="Times New Roman" w:hAnsi="Times New Roman"/>
          <w:sz w:val="24"/>
          <w:szCs w:val="24"/>
          <w:lang w:eastAsia="en-US"/>
        </w:rPr>
        <w:t xml:space="preserve">vienotais reģistrācijas                                                    Nr. _____________, kuras vārdā saskaņā ar  __________________ </w:t>
      </w:r>
      <w:r>
        <w:rPr>
          <w:rFonts w:cs="Times New Roman" w:ascii="Times New Roman" w:hAnsi="Times New Roman"/>
          <w:i/>
          <w:sz w:val="24"/>
          <w:szCs w:val="24"/>
          <w:lang w:eastAsia="en-US"/>
        </w:rPr>
        <w:t xml:space="preserve">(dokumenta nosaukums) </w:t>
      </w:r>
      <w:r>
        <w:rPr>
          <w:rFonts w:cs="Times New Roman" w:ascii="Times New Roman" w:hAnsi="Times New Roman"/>
          <w:sz w:val="24"/>
          <w:szCs w:val="24"/>
          <w:lang w:eastAsia="en-US"/>
        </w:rPr>
        <w:t>rīkojas</w:t>
      </w:r>
      <w:r>
        <w:rPr>
          <w:rFonts w:cs="Times New Roman" w:ascii="Times New Roman" w:hAnsi="Times New Roman"/>
          <w:i/>
          <w:sz w:val="24"/>
          <w:szCs w:val="24"/>
          <w:lang w:eastAsia="en-US"/>
        </w:rPr>
        <w:t xml:space="preserve"> </w:t>
      </w:r>
      <w:r>
        <w:rPr>
          <w:rFonts w:cs="Times New Roman" w:ascii="Times New Roman" w:hAnsi="Times New Roman"/>
          <w:sz w:val="24"/>
          <w:szCs w:val="24"/>
          <w:lang w:eastAsia="en-US"/>
        </w:rPr>
        <w:t xml:space="preserve">______________ </w:t>
      </w:r>
      <w:r>
        <w:rPr>
          <w:rFonts w:cs="Times New Roman" w:ascii="Times New Roman" w:hAnsi="Times New Roman"/>
          <w:i/>
          <w:sz w:val="24"/>
          <w:szCs w:val="24"/>
          <w:lang w:eastAsia="en-US"/>
        </w:rPr>
        <w:t>(Izpildītāja pārstāvja amats, vārds, uzvārds)</w:t>
      </w:r>
      <w:r>
        <w:rPr>
          <w:rFonts w:cs="Times New Roman" w:ascii="Times New Roman" w:hAnsi="Times New Roman"/>
          <w:sz w:val="24"/>
          <w:szCs w:val="24"/>
        </w:rPr>
        <w:t xml:space="preserve">, turpmāk tekstā – </w:t>
      </w:r>
      <w:r>
        <w:rPr>
          <w:rFonts w:cs="Times New Roman" w:ascii="Times New Roman" w:hAnsi="Times New Roman"/>
          <w:b/>
          <w:bCs/>
          <w:sz w:val="24"/>
          <w:szCs w:val="24"/>
        </w:rPr>
        <w:t>Izpildītājs</w:t>
      </w:r>
      <w:r>
        <w:rPr>
          <w:rFonts w:cs="Times New Roman" w:ascii="Times New Roman" w:hAnsi="Times New Roman"/>
          <w:sz w:val="24"/>
          <w:szCs w:val="24"/>
        </w:rPr>
        <w:t xml:space="preserve">, no otras puses, </w:t>
      </w:r>
    </w:p>
    <w:p>
      <w:pPr>
        <w:pStyle w:val="Normal"/>
        <w:ind w:right="140" w:firstLine="567"/>
        <w:jc w:val="both"/>
        <w:rPr>
          <w:rFonts w:ascii="Times New Roman" w:hAnsi="Times New Roman" w:cs="Times New Roman"/>
          <w:sz w:val="24"/>
          <w:szCs w:val="24"/>
        </w:rPr>
      </w:pPr>
      <w:r>
        <w:rPr>
          <w:rFonts w:cs="Times New Roman" w:ascii="Times New Roman" w:hAnsi="Times New Roman"/>
          <w:sz w:val="24"/>
          <w:szCs w:val="24"/>
        </w:rPr>
        <w:t xml:space="preserve">abi kopā turpmāk tekstā saukti – Līdzēji, katrs atsevišķi – </w:t>
      </w:r>
      <w:r>
        <w:rPr>
          <w:rFonts w:cs="Times New Roman" w:ascii="Times New Roman" w:hAnsi="Times New Roman"/>
          <w:iCs/>
          <w:sz w:val="24"/>
          <w:szCs w:val="24"/>
        </w:rPr>
        <w:t>Līdzējs</w:t>
      </w:r>
      <w:r>
        <w:rPr>
          <w:rFonts w:cs="Times New Roman" w:ascii="Times New Roman" w:hAnsi="Times New Roman"/>
          <w:sz w:val="24"/>
          <w:szCs w:val="24"/>
        </w:rPr>
        <w:t xml:space="preserve">, </w:t>
      </w:r>
      <w:r>
        <w:rPr>
          <w:rFonts w:cs="Times New Roman" w:ascii="Times New Roman" w:hAnsi="Times New Roman"/>
          <w:color w:val="000000"/>
          <w:sz w:val="24"/>
          <w:szCs w:val="24"/>
        </w:rPr>
        <w:t>pamatojoties uz Pasūtītāja veiktā iepirkuma „</w:t>
      </w:r>
      <w:r>
        <w:rPr>
          <w:rFonts w:cs="Times New Roman" w:ascii="Times New Roman" w:hAnsi="Times New Roman"/>
          <w:sz w:val="24"/>
          <w:szCs w:val="24"/>
        </w:rPr>
        <w:t>Nekustamā īpašuma tirgus vērtības, tirgus nomas maksas noteikšana un rakstveida atzinuma izgatavošanas pakalpojumi</w:t>
      </w:r>
      <w:r>
        <w:rPr>
          <w:rFonts w:cs="Times New Roman" w:ascii="Times New Roman" w:hAnsi="Times New Roman"/>
          <w:color w:val="000000"/>
          <w:sz w:val="24"/>
          <w:szCs w:val="24"/>
        </w:rPr>
        <w:t xml:space="preserve">”, </w:t>
      </w:r>
      <w:r>
        <w:rPr>
          <w:rFonts w:cs="Times New Roman" w:ascii="Times New Roman" w:hAnsi="Times New Roman"/>
          <w:sz w:val="24"/>
          <w:szCs w:val="24"/>
        </w:rPr>
        <w:t>iepirkuma identifikācijas Nr. LNP 2024/11,</w:t>
      </w:r>
      <w:r>
        <w:rPr>
          <w:rFonts w:cs="Times New Roman" w:ascii="Times New Roman" w:hAnsi="Times New Roman"/>
          <w:kern w:val="2"/>
          <w:sz w:val="24"/>
          <w:szCs w:val="24"/>
        </w:rPr>
        <w:t xml:space="preserve"> </w:t>
      </w:r>
      <w:r>
        <w:rPr>
          <w:rFonts w:cs="Times New Roman" w:ascii="Times New Roman" w:hAnsi="Times New Roman"/>
          <w:color w:val="000000"/>
          <w:sz w:val="24"/>
          <w:szCs w:val="24"/>
        </w:rPr>
        <w:t>turpmāk tekstā – Iepirkums, rezultātiem un Izpildītāja iesniegto piedāvājumu Iepirkumā,</w:t>
      </w:r>
      <w:r>
        <w:rPr>
          <w:rFonts w:cs="Times New Roman" w:ascii="Times New Roman" w:hAnsi="Times New Roman"/>
          <w:sz w:val="24"/>
          <w:szCs w:val="24"/>
        </w:rPr>
        <w:t xml:space="preserve"> turpmāk tekstā – Piedāvājums,</w:t>
      </w:r>
      <w:r>
        <w:rPr>
          <w:rFonts w:cs="Times New Roman" w:ascii="Times New Roman" w:hAnsi="Times New Roman"/>
          <w:color w:val="000000"/>
          <w:sz w:val="24"/>
          <w:szCs w:val="24"/>
        </w:rPr>
        <w:t xml:space="preserve"> </w:t>
      </w:r>
      <w:r>
        <w:rPr>
          <w:rFonts w:cs="Times New Roman" w:ascii="Times New Roman" w:hAnsi="Times New Roman"/>
          <w:sz w:val="24"/>
          <w:szCs w:val="24"/>
        </w:rPr>
        <w:t xml:space="preserve">savstarpēji vienojoties, bez maldības, viltus vai spaidiem noslēdz </w:t>
      </w:r>
      <w:r>
        <w:rPr>
          <w:rFonts w:cs="Times New Roman" w:ascii="Times New Roman" w:hAnsi="Times New Roman"/>
          <w:color w:val="000000"/>
          <w:sz w:val="24"/>
          <w:szCs w:val="24"/>
        </w:rPr>
        <w:t>šādu līgumu</w:t>
      </w:r>
      <w:r>
        <w:rPr>
          <w:rFonts w:cs="Times New Roman" w:ascii="Times New Roman" w:hAnsi="Times New Roman"/>
          <w:sz w:val="24"/>
          <w:szCs w:val="24"/>
        </w:rPr>
        <w:t>, turpmāk tekstā – Līgums:</w:t>
      </w:r>
    </w:p>
    <w:p>
      <w:pPr>
        <w:pStyle w:val="Normal"/>
        <w:ind w:right="140" w:firstLine="72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49"/>
        </w:numPr>
        <w:tabs>
          <w:tab w:val="clear" w:pos="567"/>
          <w:tab w:val="left" w:pos="284" w:leader="none"/>
        </w:tabs>
        <w:suppressAutoHyphens w:val="false"/>
        <w:spacing w:before="0" w:after="120"/>
        <w:ind w:left="420" w:right="140" w:hanging="420"/>
        <w:jc w:val="center"/>
        <w:rPr>
          <w:rFonts w:ascii="Times New Roman" w:hAnsi="Times New Roman" w:cs="Times New Roman"/>
          <w:b/>
          <w:b/>
          <w:sz w:val="24"/>
          <w:szCs w:val="24"/>
        </w:rPr>
      </w:pPr>
      <w:r>
        <w:rPr>
          <w:rFonts w:cs="Times New Roman" w:ascii="Times New Roman" w:hAnsi="Times New Roman"/>
          <w:b/>
          <w:sz w:val="24"/>
          <w:szCs w:val="24"/>
        </w:rPr>
        <w:t xml:space="preserve">Līguma priekšmets </w:t>
      </w:r>
    </w:p>
    <w:p>
      <w:pPr>
        <w:pStyle w:val="Normal"/>
        <w:numPr>
          <w:ilvl w:val="1"/>
          <w:numId w:val="35"/>
        </w:numPr>
        <w:suppressAutoHyphens w:val="false"/>
        <w:ind w:left="567" w:right="140" w:hanging="567"/>
        <w:jc w:val="both"/>
        <w:rPr>
          <w:rFonts w:ascii="Times New Roman" w:hAnsi="Times New Roman" w:cs="Times New Roman"/>
          <w:sz w:val="24"/>
          <w:szCs w:val="24"/>
        </w:rPr>
      </w:pPr>
      <w:r>
        <w:rPr>
          <w:rFonts w:cs="Times New Roman" w:ascii="Times New Roman" w:hAnsi="Times New Roman"/>
          <w:sz w:val="24"/>
          <w:szCs w:val="24"/>
        </w:rPr>
        <w:t xml:space="preserve">Pasūtītājs uzdod un Izpildītājs apņemas </w:t>
      </w:r>
      <w:r>
        <w:rPr>
          <w:rFonts w:cs="Times New Roman" w:ascii="Times New Roman" w:hAnsi="Times New Roman"/>
          <w:b/>
          <w:sz w:val="24"/>
          <w:szCs w:val="24"/>
        </w:rPr>
        <w:t>sniegt</w:t>
      </w:r>
      <w:r>
        <w:rPr>
          <w:rFonts w:cs="Times New Roman" w:ascii="Times New Roman" w:hAnsi="Times New Roman"/>
          <w:sz w:val="24"/>
          <w:szCs w:val="24"/>
        </w:rPr>
        <w:t xml:space="preserve"> </w:t>
      </w:r>
      <w:r>
        <w:rPr>
          <w:rFonts w:cs="Times New Roman" w:ascii="Times New Roman" w:hAnsi="Times New Roman"/>
          <w:b/>
          <w:bCs/>
          <w:iCs/>
          <w:sz w:val="24"/>
          <w:szCs w:val="24"/>
        </w:rPr>
        <w:t xml:space="preserve">nekustamā īpašuma (objekta) atsavināšanas (pirkšana, pārdošana, maiņa) tirgus cenas vai tirgus nomas maksas noteikšanas un rakstveida atzinuma par vērtējamā objekta visvairāk iespējamo atsavināšanas tirgus cenu vai tirgus nomas maksu izgatavošanas pakalpojumus </w:t>
      </w:r>
      <w:r>
        <w:rPr>
          <w:rFonts w:cs="Times New Roman" w:ascii="Times New Roman" w:hAnsi="Times New Roman"/>
          <w:bCs/>
          <w:iCs/>
          <w:sz w:val="24"/>
          <w:szCs w:val="24"/>
        </w:rPr>
        <w:t>Pasūtītāja atsavināšanas vajadzībām</w:t>
      </w:r>
      <w:r>
        <w:rPr>
          <w:rFonts w:cs="Times New Roman" w:ascii="Times New Roman" w:hAnsi="Times New Roman"/>
          <w:sz w:val="24"/>
          <w:szCs w:val="24"/>
        </w:rPr>
        <w:t>, turpmāk tekstā – pakalpojums,</w:t>
      </w:r>
      <w:r>
        <w:rPr>
          <w:rFonts w:cs="Times New Roman" w:ascii="Times New Roman" w:hAnsi="Times New Roman"/>
          <w:color w:val="000000"/>
          <w:sz w:val="24"/>
          <w:szCs w:val="24"/>
        </w:rPr>
        <w:t xml:space="preserve"> atbilstoši </w:t>
      </w:r>
      <w:r>
        <w:rPr>
          <w:rFonts w:cs="Times New Roman" w:ascii="Times New Roman" w:hAnsi="Times New Roman"/>
          <w:sz w:val="24"/>
          <w:szCs w:val="24"/>
        </w:rPr>
        <w:t xml:space="preserve">Iepirkuma nolikuma </w:t>
      </w:r>
      <w:r>
        <w:rPr>
          <w:rFonts w:cs="Times New Roman" w:ascii="Times New Roman" w:hAnsi="Times New Roman"/>
          <w:color w:val="000000"/>
          <w:sz w:val="24"/>
          <w:szCs w:val="24"/>
        </w:rPr>
        <w:t xml:space="preserve">Tehniskajā specifikācijā (1. pielikums) noteiktajām prasībām, Izpildītāja iesniegtajam Piedāvājumam (2. pielikums), </w:t>
      </w:r>
      <w:r>
        <w:rPr>
          <w:rFonts w:cs="Times New Roman" w:ascii="Times New Roman" w:hAnsi="Times New Roman"/>
          <w:sz w:val="24"/>
          <w:szCs w:val="24"/>
          <w:lang w:eastAsia="en-US"/>
        </w:rPr>
        <w:t>Latvijas Republikā spēkā esošo normatīvo aktu prasībām</w:t>
      </w:r>
      <w:r>
        <w:rPr>
          <w:rFonts w:cs="Times New Roman" w:ascii="Times New Roman" w:hAnsi="Times New Roman"/>
          <w:color w:val="000000"/>
          <w:sz w:val="24"/>
          <w:szCs w:val="24"/>
        </w:rPr>
        <w:t xml:space="preserve">, kas nosaka pakalpojuma sniegšanu, un </w:t>
      </w:r>
      <w:r>
        <w:rPr>
          <w:rFonts w:cs="Times New Roman" w:ascii="Times New Roman" w:hAnsi="Times New Roman"/>
          <w:sz w:val="24"/>
          <w:szCs w:val="24"/>
        </w:rPr>
        <w:t>Līguma noteikumiem.</w:t>
      </w:r>
    </w:p>
    <w:p>
      <w:pPr>
        <w:pStyle w:val="Normal"/>
        <w:numPr>
          <w:ilvl w:val="1"/>
          <w:numId w:val="35"/>
        </w:numPr>
        <w:tabs>
          <w:tab w:val="left" w:pos="567" w:leader="none"/>
        </w:tabs>
        <w:suppressAutoHyphens w:val="false"/>
        <w:ind w:left="567" w:right="140" w:hanging="567"/>
        <w:jc w:val="both"/>
        <w:rPr>
          <w:rFonts w:ascii="Times New Roman" w:hAnsi="Times New Roman" w:cs="Times New Roman"/>
          <w:sz w:val="24"/>
          <w:szCs w:val="24"/>
        </w:rPr>
      </w:pPr>
      <w:r>
        <w:rPr>
          <w:rFonts w:cs="Times New Roman" w:ascii="Times New Roman" w:hAnsi="Times New Roman"/>
          <w:sz w:val="24"/>
          <w:szCs w:val="24"/>
        </w:rPr>
        <w:t xml:space="preserve">Izpildītājs </w:t>
      </w:r>
      <w:r>
        <w:rPr>
          <w:rFonts w:cs="Times New Roman" w:ascii="Times New Roman" w:hAnsi="Times New Roman"/>
          <w:iCs/>
          <w:sz w:val="24"/>
          <w:szCs w:val="24"/>
        </w:rPr>
        <w:t>par saviem līdzekļiem nodrošina pakalpojuma veikšanai nepieciešamo darbaspēku, darbarīkus, tehniskos līdzekļus un ierīces, kuru izmaksas ir ierēķinātas Līguma cenā</w:t>
      </w:r>
      <w:r>
        <w:rPr>
          <w:rFonts w:cs="Times New Roman" w:ascii="Times New Roman" w:hAnsi="Times New Roman"/>
          <w:sz w:val="24"/>
          <w:szCs w:val="24"/>
        </w:rPr>
        <w:t xml:space="preserve">. </w:t>
      </w:r>
    </w:p>
    <w:p>
      <w:pPr>
        <w:pStyle w:val="Normal"/>
        <w:ind w:left="567" w:right="140"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tabs>
          <w:tab w:val="clear" w:pos="567"/>
          <w:tab w:val="left" w:pos="426" w:leader="none"/>
        </w:tabs>
        <w:spacing w:before="0" w:after="120"/>
        <w:ind w:right="140" w:hanging="0"/>
        <w:jc w:val="center"/>
        <w:rPr>
          <w:rFonts w:ascii="Times New Roman" w:hAnsi="Times New Roman" w:cs="Times New Roman"/>
          <w:b/>
          <w:b/>
          <w:caps/>
          <w:sz w:val="24"/>
          <w:szCs w:val="24"/>
        </w:rPr>
      </w:pPr>
      <w:r>
        <w:rPr>
          <w:rFonts w:cs="Times New Roman" w:ascii="Times New Roman" w:hAnsi="Times New Roman"/>
          <w:b/>
          <w:caps/>
          <w:sz w:val="24"/>
          <w:szCs w:val="24"/>
        </w:rPr>
        <w:t xml:space="preserve">2.  </w:t>
      </w:r>
      <w:r>
        <w:rPr>
          <w:rFonts w:cs="Times New Roman" w:ascii="Times New Roman" w:hAnsi="Times New Roman"/>
          <w:b/>
          <w:sz w:val="24"/>
          <w:szCs w:val="24"/>
        </w:rPr>
        <w:t>Līguma cena un norēķinu kārtība</w:t>
      </w:r>
    </w:p>
    <w:p>
      <w:pPr>
        <w:pStyle w:val="Normal"/>
        <w:numPr>
          <w:ilvl w:val="1"/>
          <w:numId w:val="50"/>
        </w:numPr>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Maksimālā samaksa par pakalpojuma sniegšanu, ko Pasūtītājs samaksā Izpildītājam, ir                   </w:t>
      </w:r>
      <w:r>
        <w:rPr>
          <w:rFonts w:cs="Times New Roman" w:ascii="Times New Roman" w:hAnsi="Times New Roman"/>
          <w:b/>
          <w:sz w:val="24"/>
          <w:szCs w:val="24"/>
          <w:lang w:eastAsia="en-US"/>
        </w:rPr>
        <w:t xml:space="preserve">20 000,00 EUR </w:t>
      </w:r>
      <w:r>
        <w:rPr>
          <w:rFonts w:cs="Times New Roman" w:ascii="Times New Roman" w:hAnsi="Times New Roman"/>
          <w:b/>
          <w:bCs/>
          <w:sz w:val="24"/>
          <w:szCs w:val="24"/>
          <w:lang w:eastAsia="en-US"/>
        </w:rPr>
        <w:t xml:space="preserve">(divdesmit tūkstoši </w:t>
      </w:r>
      <w:r>
        <w:rPr>
          <w:rFonts w:cs="Times New Roman" w:ascii="Times New Roman" w:hAnsi="Times New Roman"/>
          <w:b/>
          <w:bCs/>
          <w:iCs/>
          <w:sz w:val="24"/>
          <w:szCs w:val="24"/>
          <w:lang w:eastAsia="en-US"/>
        </w:rPr>
        <w:t>eiro</w:t>
      </w:r>
      <w:r>
        <w:rPr>
          <w:rFonts w:cs="Times New Roman" w:ascii="Times New Roman" w:hAnsi="Times New Roman"/>
          <w:b/>
          <w:bCs/>
          <w:sz w:val="24"/>
          <w:szCs w:val="24"/>
          <w:lang w:eastAsia="en-US"/>
        </w:rPr>
        <w:t xml:space="preserve"> un 00 centi)</w:t>
      </w:r>
      <w:r>
        <w:rPr>
          <w:rFonts w:cs="Times New Roman" w:ascii="Times New Roman" w:hAnsi="Times New Roman"/>
          <w:bCs/>
          <w:sz w:val="24"/>
          <w:szCs w:val="24"/>
          <w:lang w:eastAsia="en-US"/>
        </w:rPr>
        <w:t xml:space="preserve">, </w:t>
      </w:r>
      <w:r>
        <w:rPr>
          <w:rFonts w:cs="Times New Roman" w:ascii="Times New Roman" w:hAnsi="Times New Roman"/>
          <w:bCs/>
          <w:color w:val="000000"/>
          <w:sz w:val="24"/>
          <w:szCs w:val="24"/>
          <w:lang w:eastAsia="en-US"/>
        </w:rPr>
        <w:t xml:space="preserve">kurai tiek pieskaitīts normatīvajos aktos noteiktais </w:t>
      </w:r>
      <w:r>
        <w:rPr>
          <w:rFonts w:cs="Times New Roman" w:ascii="Times New Roman" w:hAnsi="Times New Roman"/>
          <w:color w:val="000000"/>
          <w:sz w:val="24"/>
          <w:szCs w:val="24"/>
          <w:lang w:eastAsia="en-US"/>
        </w:rPr>
        <w:t>pievienotās vērtības nodoklis</w:t>
      </w:r>
      <w:r>
        <w:rPr>
          <w:rFonts w:cs="Times New Roman" w:ascii="Times New Roman" w:hAnsi="Times New Roman"/>
          <w:sz w:val="24"/>
          <w:szCs w:val="24"/>
        </w:rPr>
        <w:t xml:space="preserve">, turpmāk tekstā – Līguma cena. </w:t>
      </w:r>
    </w:p>
    <w:p>
      <w:pPr>
        <w:pStyle w:val="Normal"/>
        <w:numPr>
          <w:ilvl w:val="1"/>
          <w:numId w:val="36"/>
        </w:numPr>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Izpildītājs veic konkrēta pakalpojuma izpildi par cenu, kāda norādīta Izpildītāja Piedāvājumā.</w:t>
      </w:r>
    </w:p>
    <w:p>
      <w:pPr>
        <w:pStyle w:val="Normal"/>
        <w:numPr>
          <w:ilvl w:val="1"/>
          <w:numId w:val="36"/>
        </w:numPr>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Pakalpojuma nodošana Pasūtītājam notiek ar darbu pieņemšanas </w:t>
      </w:r>
      <w:r>
        <w:rPr>
          <w:rFonts w:cs="Times New Roman" w:ascii="Times New Roman" w:hAnsi="Times New Roman"/>
          <w:color w:val="000000"/>
          <w:sz w:val="24"/>
          <w:szCs w:val="24"/>
        </w:rPr>
        <w:t xml:space="preserve">– </w:t>
      </w:r>
      <w:r>
        <w:rPr>
          <w:rFonts w:cs="Times New Roman" w:ascii="Times New Roman" w:hAnsi="Times New Roman"/>
          <w:sz w:val="24"/>
          <w:szCs w:val="24"/>
        </w:rPr>
        <w:t>nodošanas aktu, kuru paraksta Līdzēji vai to pilnvarotie pārstāvji.</w:t>
      </w:r>
    </w:p>
    <w:p>
      <w:pPr>
        <w:pStyle w:val="Normal"/>
        <w:numPr>
          <w:ilvl w:val="1"/>
          <w:numId w:val="36"/>
        </w:numPr>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Pasūtītājs veic Izpildītājam samaksu par sniegto pakalpojumu, kad veikta pakalpojuma izpilde, atbilstoši Izpildītāja faktiski </w:t>
      </w:r>
      <w:r>
        <w:rPr>
          <w:rFonts w:ascii="Times New Roman" w:hAnsi="Times New Roman"/>
          <w:sz w:val="24"/>
          <w:szCs w:val="24"/>
        </w:rPr>
        <w:t>paveiktajam darbam</w:t>
      </w:r>
      <w:r>
        <w:rPr>
          <w:rFonts w:cs="Times New Roman" w:ascii="Times New Roman" w:hAnsi="Times New Roman"/>
          <w:sz w:val="24"/>
          <w:szCs w:val="24"/>
        </w:rPr>
        <w:t>, 15 (piecpadsmit) dienu laikā pēc darbu pieņemšanas – nodošanas akta parakstīšanas un Izpildītāja rēķina saņemšanas.</w:t>
      </w:r>
    </w:p>
    <w:p>
      <w:pPr>
        <w:pStyle w:val="Normal"/>
        <w:numPr>
          <w:ilvl w:val="1"/>
          <w:numId w:val="36"/>
        </w:numPr>
        <w:suppressAutoHyphens w:val="false"/>
        <w:ind w:left="540" w:right="140" w:hanging="540"/>
        <w:jc w:val="both"/>
        <w:rPr>
          <w:rFonts w:ascii="Times New Roman" w:hAnsi="Times New Roman" w:cs="Times New Roman"/>
          <w:color w:val="000000"/>
          <w:sz w:val="24"/>
          <w:szCs w:val="24"/>
        </w:rPr>
      </w:pPr>
      <w:r>
        <w:rPr>
          <w:rFonts w:cs="Times New Roman" w:ascii="Times New Roman" w:hAnsi="Times New Roman"/>
          <w:sz w:val="24"/>
          <w:szCs w:val="24"/>
        </w:rPr>
        <w:t>Visi maksājumi Izpildītājam Līguma ietvaros tiek veikti ar pārskaitījumu uz Līgumā norādīto Izpildītāja norēķinu kontu.</w:t>
      </w:r>
    </w:p>
    <w:p>
      <w:pPr>
        <w:pStyle w:val="Normal"/>
        <w:numPr>
          <w:ilvl w:val="1"/>
          <w:numId w:val="36"/>
        </w:numPr>
        <w:suppressAutoHyphens w:val="false"/>
        <w:ind w:left="540" w:right="140" w:hanging="540"/>
        <w:jc w:val="both"/>
        <w:rPr>
          <w:rFonts w:ascii="Times New Roman" w:hAnsi="Times New Roman" w:cs="Times New Roman"/>
          <w:color w:val="000000"/>
          <w:sz w:val="24"/>
          <w:szCs w:val="24"/>
        </w:rPr>
      </w:pPr>
      <w:r>
        <w:rPr>
          <w:rFonts w:cs="Times New Roman" w:ascii="Times New Roman" w:hAnsi="Times New Roman"/>
          <w:sz w:val="24"/>
          <w:szCs w:val="24"/>
        </w:rPr>
        <w:t>Pasūtītāja maksājums tiek uzskatīts par veiktu brīdī, kad Pasūtītājs ir iesniedzis bankā izpildei maksājuma uzdevumu par konkrēto maksājumu, un banka to ir pieņēmusi izpildei.</w:t>
      </w:r>
    </w:p>
    <w:p>
      <w:pPr>
        <w:pStyle w:val="Normal"/>
        <w:numPr>
          <w:ilvl w:val="1"/>
          <w:numId w:val="36"/>
        </w:numPr>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Izpildītājs nodrošina Piedāvājumā noteiktās cenas nemainīgumu visā Līguma izpildes laikā.</w:t>
      </w:r>
    </w:p>
    <w:p>
      <w:pPr>
        <w:pStyle w:val="Normal"/>
        <w:ind w:left="540"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51"/>
        </w:numPr>
        <w:tabs>
          <w:tab w:val="left" w:pos="567" w:leader="none"/>
        </w:tabs>
        <w:suppressAutoHyphens w:val="false"/>
        <w:spacing w:before="0" w:after="120"/>
        <w:ind w:left="714" w:right="140" w:hanging="357"/>
        <w:jc w:val="center"/>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Pakalpojuma izpildes termiņš</w:t>
      </w:r>
    </w:p>
    <w:p>
      <w:pPr>
        <w:pStyle w:val="Normal"/>
        <w:numPr>
          <w:ilvl w:val="1"/>
          <w:numId w:val="52"/>
        </w:numPr>
        <w:tabs>
          <w:tab w:val="clear" w:pos="567"/>
          <w:tab w:val="left" w:pos="540" w:leader="none"/>
          <w:tab w:val="left" w:pos="5580" w:leader="none"/>
        </w:tabs>
        <w:suppressAutoHyphens w:val="false"/>
        <w:ind w:left="540" w:right="140" w:hanging="540"/>
        <w:jc w:val="both"/>
        <w:rPr>
          <w:rFonts w:ascii="Times New Roman" w:hAnsi="Times New Roman" w:cs="Times New Roman"/>
          <w:bCs/>
          <w:sz w:val="24"/>
          <w:szCs w:val="24"/>
        </w:rPr>
      </w:pPr>
      <w:r>
        <w:rPr>
          <w:rFonts w:cs="Times New Roman" w:ascii="Times New Roman" w:hAnsi="Times New Roman"/>
          <w:sz w:val="24"/>
          <w:szCs w:val="24"/>
        </w:rPr>
        <w:t xml:space="preserve">Līguma izpildes termiņš – </w:t>
      </w:r>
      <w:r>
        <w:rPr>
          <w:rFonts w:cs="Times New Roman" w:ascii="Times New Roman" w:hAnsi="Times New Roman"/>
          <w:b/>
          <w:sz w:val="24"/>
          <w:szCs w:val="24"/>
        </w:rPr>
        <w:t xml:space="preserve">12 (divpadsmit) mēneši </w:t>
      </w:r>
      <w:r>
        <w:rPr>
          <w:rFonts w:cs="Times New Roman" w:ascii="Times New Roman" w:hAnsi="Times New Roman"/>
          <w:bCs/>
          <w:sz w:val="24"/>
          <w:szCs w:val="24"/>
        </w:rPr>
        <w:t>no Līguma noslēgšanas dienas.</w:t>
      </w:r>
    </w:p>
    <w:p>
      <w:pPr>
        <w:pStyle w:val="Normal"/>
        <w:numPr>
          <w:ilvl w:val="1"/>
          <w:numId w:val="38"/>
        </w:numPr>
        <w:tabs>
          <w:tab w:val="clear" w:pos="567"/>
          <w:tab w:val="left" w:pos="540" w:leader="none"/>
          <w:tab w:val="left" w:pos="5580" w:leader="none"/>
        </w:tabs>
        <w:suppressAutoHyphens w:val="false"/>
        <w:ind w:left="540" w:right="140" w:hanging="540"/>
        <w:jc w:val="both"/>
        <w:rPr>
          <w:rFonts w:ascii="Times New Roman" w:hAnsi="Times New Roman" w:cs="Times New Roman"/>
          <w:bCs/>
          <w:sz w:val="24"/>
          <w:szCs w:val="24"/>
        </w:rPr>
      </w:pPr>
      <w:r>
        <w:rPr>
          <w:rFonts w:cs="Times New Roman" w:ascii="Times New Roman" w:hAnsi="Times New Roman"/>
          <w:bCs/>
          <w:sz w:val="24"/>
          <w:szCs w:val="24"/>
        </w:rPr>
        <w:t xml:space="preserve">Pakalpojuma izpildes termiņš konkrētam nekustamajam īpašumam (objektam): </w:t>
      </w:r>
      <w:r>
        <w:rPr>
          <w:rFonts w:cs="Times New Roman" w:ascii="Times New Roman" w:hAnsi="Times New Roman"/>
          <w:b/>
          <w:bCs/>
          <w:sz w:val="24"/>
          <w:szCs w:val="24"/>
        </w:rPr>
        <w:t>15 (piecpadsmit) darba dienu</w:t>
      </w:r>
      <w:r>
        <w:rPr>
          <w:rFonts w:cs="Times New Roman" w:ascii="Times New Roman" w:hAnsi="Times New Roman"/>
          <w:bCs/>
          <w:sz w:val="24"/>
          <w:szCs w:val="24"/>
        </w:rPr>
        <w:t xml:space="preserve"> laikā no Pasūtītāja pieprasījuma (darba uzdevuma) saņemšanas dienas.</w:t>
      </w:r>
    </w:p>
    <w:p>
      <w:pPr>
        <w:pStyle w:val="Normal"/>
        <w:tabs>
          <w:tab w:val="clear" w:pos="567"/>
          <w:tab w:val="left" w:pos="5580" w:leader="none"/>
        </w:tabs>
        <w:ind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53"/>
        </w:numPr>
        <w:tabs>
          <w:tab w:val="clear" w:pos="567"/>
          <w:tab w:val="left" w:pos="284" w:leader="none"/>
        </w:tabs>
        <w:suppressAutoHyphens w:val="false"/>
        <w:spacing w:before="0" w:after="120"/>
        <w:ind w:left="357" w:right="142" w:hanging="357"/>
        <w:jc w:val="center"/>
        <w:rPr>
          <w:rFonts w:ascii="Times New Roman" w:hAnsi="Times New Roman" w:cs="Times New Roman"/>
          <w:b/>
          <w:b/>
          <w:sz w:val="24"/>
          <w:szCs w:val="24"/>
        </w:rPr>
      </w:pPr>
      <w:r>
        <w:rPr>
          <w:rFonts w:cs="Times New Roman" w:ascii="Times New Roman" w:hAnsi="Times New Roman"/>
          <w:b/>
          <w:sz w:val="24"/>
          <w:szCs w:val="24"/>
        </w:rPr>
        <w:t xml:space="preserve">Līdzēju saistības </w:t>
      </w:r>
    </w:p>
    <w:p>
      <w:pPr>
        <w:pStyle w:val="Normal"/>
        <w:numPr>
          <w:ilvl w:val="1"/>
          <w:numId w:val="54"/>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Pasūtītāja saistības:</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 xml:space="preserve">Pasūtītājs apņemas veikt Izpildītājam samaksu par pakalpojuma sniegšanu Līgumā noteiktajā termiņā un kārtībā, ja Izpildītājs kvalitatīvi izpildījis savas saistības; </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Pasūtītājs apņemas savlaicīgi sniegt Izpildītājam nepieciešamo informāciju, kas saistīta ar pakalpojuma sniegšanu;</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Pasūtītājam ir tiesības veikt pakalpojuma izpildes pārbaudi, pārbaudot vai tā izpilde atbilst Līguma prasībām.</w:t>
      </w:r>
    </w:p>
    <w:p>
      <w:pPr>
        <w:pStyle w:val="Normal"/>
        <w:ind w:right="140" w:hanging="90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1"/>
          <w:numId w:val="40"/>
        </w:numPr>
        <w:tabs>
          <w:tab w:val="clear" w:pos="567"/>
          <w:tab w:val="left" w:pos="540" w:leader="none"/>
        </w:tabs>
        <w:suppressAutoHyphens w:val="false"/>
        <w:ind w:left="360" w:right="140" w:hanging="360"/>
        <w:jc w:val="both"/>
        <w:rPr>
          <w:rFonts w:ascii="Times New Roman" w:hAnsi="Times New Roman" w:cs="Times New Roman"/>
          <w:sz w:val="24"/>
          <w:szCs w:val="24"/>
        </w:rPr>
      </w:pPr>
      <w:r>
        <w:rPr>
          <w:rFonts w:cs="Times New Roman" w:ascii="Times New Roman" w:hAnsi="Times New Roman"/>
          <w:bCs/>
          <w:sz w:val="24"/>
          <w:szCs w:val="24"/>
        </w:rPr>
        <w:t xml:space="preserve">   </w:t>
      </w:r>
      <w:r>
        <w:rPr>
          <w:rFonts w:cs="Times New Roman" w:ascii="Times New Roman" w:hAnsi="Times New Roman"/>
          <w:bCs/>
          <w:sz w:val="24"/>
          <w:szCs w:val="24"/>
        </w:rPr>
        <w:t>Izpildītāja saistības</w:t>
      </w:r>
      <w:r>
        <w:rPr>
          <w:rFonts w:cs="Times New Roman" w:ascii="Times New Roman" w:hAnsi="Times New Roman"/>
          <w:sz w:val="24"/>
          <w:szCs w:val="24"/>
        </w:rPr>
        <w:t>:</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Izpildītājs apņemas kvalitatīvi sniegt pakalpojumu, atbilstoši Līguma un Iepirkuma nolikuma Tehniskās specifikācijas noteikumiem;</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Izpildītājs uzņemas atbildību par zaudējumiem, kas nodarīti Pasūtītājam sakarā ar Līguma noteikumu pārkāpumiem, ja Izpildītājs tajos vainojams;</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 xml:space="preserve">Izpildītājs apņemas nekavējoties brīdināt Pasūtītāju par neparedzētiem apstākļiem, kas radušies pēc Līguma noslēgšanas no Izpildītāja neatkarīgu apstākļu dēļ, un kas ietekmē vai var ietekmēt pakalpojuma izpildi; </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gadījumā, ja pakalpojums netiek izpildīts vai ir izpildīts nekvalitatīvi, Izpildītājam ir jāatlīdzina Pasūtītājam radušies zaudējumi.</w:t>
      </w:r>
    </w:p>
    <w:p>
      <w:pPr>
        <w:pStyle w:val="Normal"/>
        <w:ind w:right="140" w:hanging="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numPr>
          <w:ilvl w:val="0"/>
          <w:numId w:val="40"/>
        </w:numPr>
        <w:tabs>
          <w:tab w:val="clear" w:pos="567"/>
          <w:tab w:val="left" w:pos="284" w:leader="none"/>
        </w:tabs>
        <w:suppressAutoHyphens w:val="false"/>
        <w:spacing w:before="0" w:after="120"/>
        <w:ind w:left="357" w:right="140" w:hanging="357"/>
        <w:jc w:val="center"/>
        <w:rPr>
          <w:rFonts w:ascii="Times New Roman" w:hAnsi="Times New Roman" w:cs="Times New Roman"/>
          <w:b/>
          <w:b/>
          <w:sz w:val="24"/>
          <w:szCs w:val="24"/>
        </w:rPr>
      </w:pPr>
      <w:r>
        <w:rPr>
          <w:rFonts w:cs="Times New Roman" w:ascii="Times New Roman" w:hAnsi="Times New Roman"/>
          <w:b/>
          <w:sz w:val="24"/>
          <w:szCs w:val="24"/>
        </w:rPr>
        <w:t>Līdzēju atbildība</w:t>
      </w:r>
    </w:p>
    <w:p>
      <w:pPr>
        <w:pStyle w:val="Normal"/>
        <w:numPr>
          <w:ilvl w:val="1"/>
          <w:numId w:val="40"/>
        </w:numPr>
        <w:tabs>
          <w:tab w:val="left" w:pos="567" w:leader="none"/>
        </w:tabs>
        <w:suppressAutoHyphens w:val="false"/>
        <w:ind w:left="567" w:right="142" w:hanging="567"/>
        <w:jc w:val="both"/>
        <w:rPr>
          <w:rFonts w:ascii="Times New Roman" w:hAnsi="Times New Roman" w:cs="Times New Roman"/>
          <w:b/>
          <w:b/>
          <w:sz w:val="24"/>
          <w:szCs w:val="24"/>
        </w:rPr>
      </w:pPr>
      <w:r>
        <w:rPr>
          <w:rFonts w:cs="Times New Roman" w:ascii="Times New Roman" w:hAnsi="Times New Roman"/>
          <w:color w:val="000000"/>
          <w:sz w:val="24"/>
          <w:szCs w:val="24"/>
        </w:rPr>
        <w:t>Līdzēji ir savstarpēji atbildīgi par otram Līdzējam nodarītajiem zaudējumiem, ja tie radušies Līdzēja vai tā darbinieku, kā arī Līdzēja Līguma izpildē iesaistīto trešo personu darbības rezultātā.</w:t>
      </w:r>
    </w:p>
    <w:p>
      <w:pPr>
        <w:pStyle w:val="Normal"/>
        <w:numPr>
          <w:ilvl w:val="1"/>
          <w:numId w:val="40"/>
        </w:numPr>
        <w:tabs>
          <w:tab w:val="left" w:pos="567" w:leader="none"/>
        </w:tabs>
        <w:suppressAutoHyphens w:val="false"/>
        <w:ind w:left="567" w:right="142" w:hanging="567"/>
        <w:jc w:val="both"/>
        <w:rPr>
          <w:rFonts w:ascii="Times New Roman" w:hAnsi="Times New Roman" w:cs="Times New Roman"/>
          <w:b/>
          <w:b/>
          <w:sz w:val="24"/>
          <w:szCs w:val="24"/>
        </w:rPr>
      </w:pPr>
      <w:r>
        <w:rPr>
          <w:rFonts w:cs="Times New Roman" w:ascii="Times New Roman" w:hAnsi="Times New Roman"/>
          <w:sz w:val="24"/>
          <w:szCs w:val="24"/>
        </w:rPr>
        <w:t xml:space="preserve">Ja Pasūtītājs neizpilda Līguma 2.4. punktā noteiktās saistības, </w:t>
      </w:r>
      <w:r>
        <w:rPr>
          <w:rFonts w:cs="Times New Roman" w:ascii="Times New Roman" w:hAnsi="Times New Roman"/>
          <w:color w:val="000000"/>
          <w:sz w:val="24"/>
          <w:szCs w:val="24"/>
        </w:rPr>
        <w:t xml:space="preserve">Izpildītājam </w:t>
      </w:r>
      <w:r>
        <w:rPr>
          <w:rFonts w:cs="Times New Roman" w:ascii="Times New Roman" w:hAnsi="Times New Roman"/>
          <w:sz w:val="24"/>
          <w:szCs w:val="24"/>
        </w:rPr>
        <w:t>ir tiesības piemērot Pasūtītājam līgumsodu 0,1 % (nulle, komats, viens procents) apmērā no nesamaksātās summas par katru kavēto dienu, bet ne vairāk kā 10 % (desmit procenti) no nesamaksātās summas.</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Ja Izpildītājs atsakās no Līguma izpildes vai Līgums tiek izbeigts Izpildītāja vainas dēļ, </w:t>
      </w:r>
      <w:r>
        <w:rPr>
          <w:rFonts w:cs="Times New Roman" w:ascii="Times New Roman" w:hAnsi="Times New Roman"/>
          <w:color w:val="000000"/>
          <w:sz w:val="24"/>
          <w:szCs w:val="24"/>
        </w:rPr>
        <w:t xml:space="preserve">Pasūtītājam ir tiesības piemērot Izpildītājam līgumsodu par Līguma neizpildi izpildi </w:t>
      </w:r>
      <w:r>
        <w:rPr>
          <w:rFonts w:cs="Times New Roman" w:ascii="Times New Roman" w:hAnsi="Times New Roman"/>
          <w:iCs/>
          <w:color w:val="000000"/>
          <w:sz w:val="24"/>
          <w:szCs w:val="24"/>
        </w:rPr>
        <w:t>10 % (desmit procenti)</w:t>
      </w:r>
      <w:r>
        <w:rPr>
          <w:rFonts w:cs="Times New Roman" w:ascii="Times New Roman" w:hAnsi="Times New Roman"/>
          <w:color w:val="000000"/>
          <w:sz w:val="24"/>
          <w:szCs w:val="24"/>
        </w:rPr>
        <w:t xml:space="preserve"> apmērā no Līguma cenas</w:t>
      </w:r>
      <w:r>
        <w:rPr>
          <w:rFonts w:cs="Times New Roman" w:ascii="Times New Roman" w:hAnsi="Times New Roman"/>
          <w:sz w:val="24"/>
          <w:szCs w:val="24"/>
        </w:rPr>
        <w:t>.</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b/>
          <w:b/>
          <w:sz w:val="24"/>
          <w:szCs w:val="24"/>
        </w:rPr>
      </w:pPr>
      <w:r>
        <w:rPr>
          <w:rFonts w:cs="Times New Roman" w:ascii="Times New Roman" w:hAnsi="Times New Roman"/>
          <w:color w:val="000000"/>
          <w:sz w:val="24"/>
          <w:szCs w:val="24"/>
        </w:rPr>
        <w:t>Pasūtītājam, veicot Izpildītājam Līgumā noteiktos maksājumus, ir tiesības ieturēt no tiem līgumsodus, kas Izpildītājam piemēroti un aprēķināti saskaņā ar Līgumu.</w:t>
      </w:r>
    </w:p>
    <w:p>
      <w:pPr>
        <w:pStyle w:val="Normal"/>
        <w:numPr>
          <w:ilvl w:val="1"/>
          <w:numId w:val="40"/>
        </w:numPr>
        <w:tabs>
          <w:tab w:val="left" w:pos="567" w:leader="none"/>
        </w:tabs>
        <w:suppressAutoHyphens w:val="false"/>
        <w:ind w:left="567" w:right="142" w:hanging="567"/>
        <w:jc w:val="both"/>
        <w:rPr>
          <w:rFonts w:ascii="Times New Roman" w:hAnsi="Times New Roman" w:cs="Times New Roman"/>
          <w:b/>
          <w:b/>
          <w:caps/>
          <w:sz w:val="24"/>
          <w:szCs w:val="24"/>
        </w:rPr>
      </w:pPr>
      <w:r>
        <w:rPr>
          <w:rFonts w:eastAsia="Calibri" w:cs="Times New Roman" w:ascii="Times New Roman" w:hAnsi="Times New Roman"/>
          <w:bCs/>
          <w:sz w:val="24"/>
          <w:szCs w:val="24"/>
        </w:rPr>
        <w:t>Līgumsoda samaksa neatbrīvo Līdzējus no turpmākas saistību izpildes, kā arī neierobežo Līdzēju tiesības prasīt zaudējumu atlīdzību.</w:t>
      </w:r>
    </w:p>
    <w:p>
      <w:pPr>
        <w:pStyle w:val="Normal"/>
        <w:ind w:left="567" w:right="142" w:hanging="0"/>
        <w:jc w:val="both"/>
        <w:rPr>
          <w:rFonts w:ascii="Times New Roman" w:hAnsi="Times New Roman" w:cs="Times New Roman"/>
          <w:b/>
          <w:b/>
          <w:caps/>
          <w:sz w:val="24"/>
          <w:szCs w:val="24"/>
        </w:rPr>
      </w:pPr>
      <w:r>
        <w:rPr>
          <w:rFonts w:cs="Times New Roman" w:ascii="Times New Roman" w:hAnsi="Times New Roman"/>
          <w:b/>
          <w:caps/>
          <w:sz w:val="24"/>
          <w:szCs w:val="24"/>
        </w:rPr>
      </w:r>
    </w:p>
    <w:p>
      <w:pPr>
        <w:pStyle w:val="Normal"/>
        <w:numPr>
          <w:ilvl w:val="0"/>
          <w:numId w:val="40"/>
        </w:numPr>
        <w:suppressAutoHyphens w:val="false"/>
        <w:spacing w:before="0" w:after="120"/>
        <w:jc w:val="center"/>
        <w:rPr>
          <w:rFonts w:ascii="Times New Roman" w:hAnsi="Times New Roman" w:cs="Times New Roman"/>
          <w:b/>
          <w:b/>
          <w:bCs/>
          <w:sz w:val="24"/>
          <w:szCs w:val="24"/>
        </w:rPr>
      </w:pPr>
      <w:r>
        <w:rPr>
          <w:rFonts w:cs="Times New Roman" w:ascii="Times New Roman" w:hAnsi="Times New Roman"/>
          <w:b/>
          <w:color w:val="000000"/>
          <w:sz w:val="24"/>
          <w:szCs w:val="24"/>
        </w:rPr>
        <w:t>Apakšuzņēmēju un personāla nomaiņas un jaunu apakšuzņēmēju piesaistes kārtība</w:t>
      </w:r>
    </w:p>
    <w:p>
      <w:pPr>
        <w:pStyle w:val="Normal"/>
        <w:numPr>
          <w:ilvl w:val="1"/>
          <w:numId w:val="40"/>
        </w:numPr>
        <w:tabs>
          <w:tab w:val="left" w:pos="567" w:leader="none"/>
        </w:tabs>
        <w:ind w:left="567" w:right="-17" w:hanging="567"/>
        <w:jc w:val="both"/>
        <w:rPr>
          <w:rFonts w:ascii="Times New Roman" w:hAnsi="Times New Roman" w:cs="Times New Roman"/>
          <w:bCs/>
          <w:iCs/>
          <w:sz w:val="24"/>
          <w:szCs w:val="24"/>
        </w:rPr>
      </w:pPr>
      <w:r>
        <w:rPr>
          <w:rFonts w:cs="Times New Roman" w:ascii="Times New Roman" w:hAnsi="Times New Roman"/>
          <w:sz w:val="24"/>
          <w:szCs w:val="24"/>
          <w:lang w:eastAsia="ar-SA"/>
        </w:rPr>
        <w:t xml:space="preserve">Līguma izpildē </w:t>
      </w:r>
      <w:r>
        <w:rPr>
          <w:rFonts w:cs="Times New Roman" w:ascii="Times New Roman" w:hAnsi="Times New Roman"/>
          <w:sz w:val="24"/>
          <w:szCs w:val="24"/>
        </w:rPr>
        <w:t xml:space="preserve">Izpildītāja </w:t>
      </w:r>
      <w:r>
        <w:rPr>
          <w:rFonts w:cs="Times New Roman" w:ascii="Times New Roman" w:hAnsi="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pPr>
        <w:pStyle w:val="Normal"/>
        <w:numPr>
          <w:ilvl w:val="1"/>
          <w:numId w:val="40"/>
        </w:numPr>
        <w:tabs>
          <w:tab w:val="left" w:pos="567" w:leader="none"/>
        </w:tabs>
        <w:ind w:left="567" w:right="-17" w:hanging="567"/>
        <w:jc w:val="both"/>
        <w:rPr>
          <w:rFonts w:ascii="Times New Roman" w:hAnsi="Times New Roman" w:cs="Times New Roman"/>
          <w:bCs/>
          <w:iCs/>
          <w:sz w:val="24"/>
          <w:szCs w:val="24"/>
        </w:rPr>
      </w:pPr>
      <w:r>
        <w:rPr>
          <w:rFonts w:cs="Times New Roman" w:ascii="Times New Roman" w:hAnsi="Times New Roman"/>
          <w:sz w:val="24"/>
          <w:szCs w:val="24"/>
        </w:rPr>
        <w:t xml:space="preserve">Izpildītājs </w:t>
      </w:r>
      <w:r>
        <w:rPr>
          <w:rFonts w:cs="Times New Roman" w:ascii="Times New Roman" w:hAnsi="Times New Roman"/>
          <w:bCs/>
          <w:iCs/>
          <w:sz w:val="24"/>
          <w:szCs w:val="24"/>
        </w:rPr>
        <w:t xml:space="preserve">nav tiesīgs bez saskaņošanas ar Pasūtītāju veikt </w:t>
      </w:r>
      <w:r>
        <w:rPr>
          <w:rFonts w:cs="Times New Roman" w:ascii="Times New Roman" w:hAnsi="Times New Roman"/>
          <w:sz w:val="24"/>
          <w:szCs w:val="24"/>
        </w:rPr>
        <w:t xml:space="preserve">Izpildītāja </w:t>
      </w:r>
      <w:r>
        <w:rPr>
          <w:rFonts w:cs="Times New Roman" w:ascii="Times New Roman" w:hAnsi="Times New Roman"/>
          <w:bCs/>
          <w:iCs/>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pPr>
        <w:pStyle w:val="Normal"/>
        <w:numPr>
          <w:ilvl w:val="1"/>
          <w:numId w:val="40"/>
        </w:numPr>
        <w:tabs>
          <w:tab w:val="left" w:pos="567" w:leader="none"/>
        </w:tabs>
        <w:ind w:left="567" w:right="-17" w:hanging="567"/>
        <w:jc w:val="both"/>
        <w:rPr>
          <w:rFonts w:ascii="Times New Roman" w:hAnsi="Times New Roman" w:cs="Times New Roman"/>
          <w:bCs/>
          <w:iCs/>
          <w:sz w:val="24"/>
          <w:szCs w:val="24"/>
        </w:rPr>
      </w:pPr>
      <w:r>
        <w:rPr>
          <w:rFonts w:cs="Times New Roman" w:ascii="Times New Roman" w:hAnsi="Times New Roman"/>
          <w:sz w:val="24"/>
          <w:szCs w:val="24"/>
        </w:rPr>
        <w:t>Izpildītāja</w:t>
      </w:r>
      <w:r>
        <w:rPr>
          <w:rFonts w:cs="Times New Roman" w:ascii="Times New Roman" w:hAnsi="Times New Roman"/>
          <w:bCs/>
          <w:iCs/>
          <w:sz w:val="24"/>
          <w:szCs w:val="24"/>
        </w:rPr>
        <w:t xml:space="preserve">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pPr>
        <w:pStyle w:val="Normal"/>
        <w:numPr>
          <w:ilvl w:val="1"/>
          <w:numId w:val="40"/>
        </w:numPr>
        <w:tabs>
          <w:tab w:val="left" w:pos="567" w:leader="none"/>
        </w:tabs>
        <w:ind w:left="567" w:right="-17" w:hanging="567"/>
        <w:jc w:val="both"/>
        <w:rPr>
          <w:rFonts w:ascii="Times New Roman" w:hAnsi="Times New Roman" w:cs="Times New Roman"/>
          <w:bCs/>
          <w:iCs/>
          <w:sz w:val="24"/>
          <w:szCs w:val="24"/>
        </w:rPr>
      </w:pPr>
      <w:r>
        <w:rPr>
          <w:rFonts w:cs="Times New Roman" w:ascii="Times New Roman" w:hAnsi="Times New Roman"/>
          <w:bCs/>
          <w:iCs/>
          <w:sz w:val="24"/>
          <w:szCs w:val="24"/>
        </w:rPr>
        <w:t xml:space="preserve">Pasūtītājs nepiekrīt Iepirkumā iesniegtajā </w:t>
      </w:r>
      <w:r>
        <w:rPr>
          <w:rFonts w:cs="Times New Roman" w:ascii="Times New Roman" w:hAnsi="Times New Roman"/>
          <w:sz w:val="24"/>
          <w:szCs w:val="24"/>
        </w:rPr>
        <w:t>Izpildītāja</w:t>
      </w:r>
      <w:r>
        <w:rPr>
          <w:rFonts w:cs="Times New Roman" w:ascii="Times New Roman" w:hAnsi="Times New Roman"/>
          <w:bCs/>
          <w:iCs/>
          <w:sz w:val="24"/>
          <w:szCs w:val="24"/>
        </w:rPr>
        <w:t xml:space="preserve"> Piedāvājumā norādītā apakšuzņēmēja nomaiņai, ja pastāv kāds no šādiem nosacījumiem:</w:t>
      </w:r>
    </w:p>
    <w:p>
      <w:pPr>
        <w:pStyle w:val="Normal"/>
        <w:numPr>
          <w:ilvl w:val="2"/>
          <w:numId w:val="40"/>
        </w:numPr>
        <w:tabs>
          <w:tab w:val="clear" w:pos="567"/>
          <w:tab w:val="left" w:pos="1276" w:leader="none"/>
        </w:tabs>
        <w:ind w:left="1276" w:hanging="709"/>
        <w:jc w:val="both"/>
        <w:rPr>
          <w:rFonts w:ascii="Times New Roman" w:hAnsi="Times New Roman" w:cs="Times New Roman"/>
          <w:bCs/>
          <w:iCs/>
          <w:sz w:val="24"/>
          <w:szCs w:val="24"/>
        </w:rPr>
      </w:pPr>
      <w:r>
        <w:rPr>
          <w:rFonts w:cs="Times New Roman" w:ascii="Times New Roman" w:hAnsi="Times New Roman"/>
          <w:bCs/>
          <w:iCs/>
          <w:sz w:val="24"/>
          <w:szCs w:val="24"/>
        </w:rPr>
        <w:t>piedāvātais apakšuzņēmējs neatbilst Iepirkuma dokumentos apakšuzņēmējiem izvirzītajām prasībām;</w:t>
      </w:r>
    </w:p>
    <w:p>
      <w:pPr>
        <w:pStyle w:val="Normal"/>
        <w:numPr>
          <w:ilvl w:val="2"/>
          <w:numId w:val="40"/>
        </w:numPr>
        <w:tabs>
          <w:tab w:val="clear" w:pos="567"/>
          <w:tab w:val="left" w:pos="1276" w:leader="none"/>
        </w:tabs>
        <w:ind w:left="1276" w:hanging="709"/>
        <w:jc w:val="both"/>
        <w:rPr>
          <w:rFonts w:ascii="Times New Roman" w:hAnsi="Times New Roman" w:cs="Times New Roman"/>
          <w:bCs/>
          <w:iCs/>
          <w:sz w:val="24"/>
          <w:szCs w:val="24"/>
        </w:rPr>
      </w:pPr>
      <w:r>
        <w:rPr>
          <w:rFonts w:cs="Times New Roman" w:ascii="Times New Roman" w:hAnsi="Times New Roman"/>
          <w:bCs/>
          <w:iCs/>
          <w:sz w:val="24"/>
          <w:szCs w:val="24"/>
        </w:rPr>
        <w:t xml:space="preserve">tiek nomainīts apakšuzņēmējs, uz kura iespējām Iepirkumā </w:t>
      </w:r>
      <w:r>
        <w:rPr>
          <w:rFonts w:cs="Times New Roman" w:ascii="Times New Roman" w:hAnsi="Times New Roman"/>
          <w:sz w:val="24"/>
          <w:szCs w:val="24"/>
        </w:rPr>
        <w:t>Izpildītājs</w:t>
      </w:r>
      <w:r>
        <w:rPr>
          <w:rFonts w:cs="Times New Roman" w:ascii="Times New Roman" w:hAnsi="Times New Roman"/>
          <w:bCs/>
          <w:iCs/>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pPr>
        <w:pStyle w:val="Normal"/>
        <w:numPr>
          <w:ilvl w:val="2"/>
          <w:numId w:val="40"/>
        </w:numPr>
        <w:tabs>
          <w:tab w:val="clear" w:pos="567"/>
          <w:tab w:val="left" w:pos="1276" w:leader="none"/>
        </w:tabs>
        <w:ind w:left="1276" w:hanging="709"/>
        <w:jc w:val="both"/>
        <w:rPr>
          <w:rFonts w:ascii="Times New Roman" w:hAnsi="Times New Roman" w:cs="Times New Roman"/>
          <w:bCs/>
          <w:iCs/>
          <w:sz w:val="24"/>
          <w:szCs w:val="24"/>
        </w:rPr>
      </w:pPr>
      <w:r>
        <w:rPr>
          <w:rFonts w:cs="Times New Roman" w:ascii="Times New Roman" w:hAnsi="Times New Roman"/>
          <w:bCs/>
          <w:iCs/>
          <w:sz w:val="24"/>
          <w:szCs w:val="24"/>
        </w:rPr>
        <w:t>piedāvātais apakšuzņēmējs, kura veicamo būvdarbu vai sniedzamo pakalpojumu vērtība ir vismaz 10 000,00 EUR, atbilst Publisko iepirkumu likuma 42. panta otrajā daļā minētajiem pretendentu izslēgšanas iemesliem;</w:t>
      </w:r>
    </w:p>
    <w:p>
      <w:pPr>
        <w:pStyle w:val="Normal"/>
        <w:numPr>
          <w:ilvl w:val="2"/>
          <w:numId w:val="40"/>
        </w:numPr>
        <w:tabs>
          <w:tab w:val="clear" w:pos="567"/>
          <w:tab w:val="left" w:pos="1276" w:leader="none"/>
        </w:tabs>
        <w:ind w:left="1276" w:hanging="709"/>
        <w:jc w:val="both"/>
        <w:rPr>
          <w:rFonts w:ascii="Times New Roman" w:hAnsi="Times New Roman" w:cs="Times New Roman"/>
          <w:bCs/>
          <w:iCs/>
          <w:sz w:val="24"/>
          <w:szCs w:val="24"/>
        </w:rPr>
      </w:pPr>
      <w:r>
        <w:rPr>
          <w:rFonts w:cs="Times New Roman" w:ascii="Times New Roman" w:hAnsi="Times New Roman"/>
          <w:bCs/>
          <w:iCs/>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pPr>
        <w:pStyle w:val="Normal"/>
        <w:numPr>
          <w:ilvl w:val="1"/>
          <w:numId w:val="40"/>
        </w:numPr>
        <w:tabs>
          <w:tab w:val="left" w:pos="567" w:leader="none"/>
        </w:tabs>
        <w:ind w:left="567" w:hanging="567"/>
        <w:jc w:val="both"/>
        <w:rPr>
          <w:rFonts w:ascii="Times New Roman" w:hAnsi="Times New Roman" w:cs="Times New Roman"/>
          <w:bCs/>
          <w:iCs/>
          <w:sz w:val="24"/>
          <w:szCs w:val="24"/>
        </w:rPr>
      </w:pPr>
      <w:r>
        <w:rPr>
          <w:rFonts w:cs="Times New Roman" w:ascii="Times New Roman" w:hAnsi="Times New Roman"/>
          <w:bCs/>
          <w:iCs/>
          <w:sz w:val="24"/>
          <w:szCs w:val="24"/>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pPr>
        <w:pStyle w:val="Normal"/>
        <w:numPr>
          <w:ilvl w:val="1"/>
          <w:numId w:val="40"/>
        </w:numPr>
        <w:tabs>
          <w:tab w:val="left" w:pos="567" w:leader="none"/>
        </w:tabs>
        <w:ind w:left="567" w:hanging="567"/>
        <w:jc w:val="both"/>
        <w:rPr>
          <w:rFonts w:ascii="Times New Roman" w:hAnsi="Times New Roman" w:cs="Times New Roman"/>
          <w:bCs/>
          <w:iCs/>
          <w:sz w:val="24"/>
          <w:szCs w:val="24"/>
        </w:rPr>
      </w:pPr>
      <w:r>
        <w:rPr>
          <w:rFonts w:cs="Times New Roman" w:ascii="Times New Roman" w:hAnsi="Times New Roman"/>
          <w:bCs/>
          <w:iCs/>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pPr>
        <w:pStyle w:val="Normal"/>
        <w:numPr>
          <w:ilvl w:val="1"/>
          <w:numId w:val="40"/>
        </w:numPr>
        <w:tabs>
          <w:tab w:val="left" w:pos="567" w:leader="none"/>
        </w:tabs>
        <w:ind w:left="567" w:hanging="567"/>
        <w:jc w:val="both"/>
        <w:rPr>
          <w:rFonts w:ascii="Times New Roman" w:hAnsi="Times New Roman" w:cs="Times New Roman"/>
          <w:bCs/>
          <w:iCs/>
          <w:sz w:val="24"/>
          <w:szCs w:val="24"/>
        </w:rPr>
      </w:pPr>
      <w:r>
        <w:rPr>
          <w:rFonts w:cs="Times New Roman" w:ascii="Times New Roman" w:hAnsi="Times New Roman"/>
          <w:bCs/>
          <w:iCs/>
          <w:sz w:val="24"/>
          <w:szCs w:val="24"/>
        </w:rPr>
        <w:t xml:space="preserve">Pasūtītājs pieņem lēmumu atļaut vai atteikt </w:t>
      </w:r>
      <w:r>
        <w:rPr>
          <w:rFonts w:cs="Times New Roman" w:ascii="Times New Roman" w:hAnsi="Times New Roman"/>
          <w:sz w:val="24"/>
          <w:szCs w:val="24"/>
        </w:rPr>
        <w:t xml:space="preserve">Izpildītāja </w:t>
      </w:r>
      <w:r>
        <w:rPr>
          <w:rFonts w:cs="Times New Roman" w:ascii="Times New Roman" w:hAnsi="Times New Roman"/>
          <w:bCs/>
          <w:iCs/>
          <w:sz w:val="24"/>
          <w:szCs w:val="24"/>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pPr>
        <w:pStyle w:val="Normal"/>
        <w:ind w:left="567" w:hanging="0"/>
        <w:jc w:val="both"/>
        <w:rPr>
          <w:rFonts w:ascii="Times New Roman" w:hAnsi="Times New Roman" w:cs="Times New Roman"/>
          <w:bCs/>
          <w:iCs/>
          <w:sz w:val="24"/>
          <w:szCs w:val="24"/>
        </w:rPr>
      </w:pPr>
      <w:r>
        <w:rPr>
          <w:rFonts w:cs="Times New Roman" w:ascii="Times New Roman" w:hAnsi="Times New Roman"/>
          <w:bCs/>
          <w:iCs/>
          <w:sz w:val="24"/>
          <w:szCs w:val="24"/>
        </w:rPr>
      </w:r>
    </w:p>
    <w:p>
      <w:pPr>
        <w:pStyle w:val="Normal"/>
        <w:numPr>
          <w:ilvl w:val="0"/>
          <w:numId w:val="40"/>
        </w:numPr>
        <w:suppressAutoHyphens w:val="false"/>
        <w:spacing w:before="0" w:after="120"/>
        <w:ind w:left="357" w:right="142" w:hanging="357"/>
        <w:jc w:val="center"/>
        <w:rPr>
          <w:rFonts w:ascii="Times New Roman" w:hAnsi="Times New Roman" w:cs="Times New Roman"/>
          <w:b/>
          <w:b/>
          <w:caps/>
          <w:sz w:val="24"/>
          <w:szCs w:val="24"/>
        </w:rPr>
      </w:pPr>
      <w:r>
        <w:rPr>
          <w:rFonts w:cs="Times New Roman" w:ascii="Times New Roman" w:hAnsi="Times New Roman"/>
          <w:b/>
          <w:bCs/>
          <w:sz w:val="24"/>
          <w:szCs w:val="24"/>
        </w:rPr>
        <w:t>Nepārvaramas varas apstākļi</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b/>
          <w:b/>
          <w:caps/>
          <w:sz w:val="24"/>
          <w:szCs w:val="24"/>
        </w:rPr>
      </w:pPr>
      <w:r>
        <w:rPr>
          <w:rFonts w:cs="Times New Roman" w:ascii="Times New Roman" w:hAnsi="Times New Roman"/>
          <w:sz w:val="24"/>
          <w:szCs w:val="24"/>
        </w:rPr>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b/>
          <w:b/>
          <w:caps/>
          <w:sz w:val="24"/>
          <w:szCs w:val="24"/>
        </w:rPr>
      </w:pPr>
      <w:r>
        <w:rPr>
          <w:rFonts w:cs="Times New Roman" w:ascii="Times New Roman" w:hAnsi="Times New Roman"/>
          <w:sz w:val="24"/>
          <w:szCs w:val="24"/>
        </w:rPr>
        <w:t>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pPr>
        <w:pStyle w:val="Normal"/>
        <w:ind w:left="540"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40"/>
        </w:numPr>
        <w:tabs>
          <w:tab w:val="clear" w:pos="567"/>
          <w:tab w:val="left" w:pos="284" w:leader="none"/>
        </w:tabs>
        <w:suppressAutoHyphens w:val="false"/>
        <w:spacing w:before="0" w:after="120"/>
        <w:ind w:left="357" w:right="140" w:hanging="357"/>
        <w:jc w:val="center"/>
        <w:rPr>
          <w:rFonts w:ascii="Times New Roman" w:hAnsi="Times New Roman" w:cs="Times New Roman"/>
          <w:b/>
          <w:b/>
          <w:sz w:val="24"/>
          <w:szCs w:val="24"/>
        </w:rPr>
      </w:pPr>
      <w:r>
        <w:rPr>
          <w:rFonts w:cs="Times New Roman" w:ascii="Times New Roman" w:hAnsi="Times New Roman"/>
          <w:b/>
          <w:sz w:val="24"/>
          <w:szCs w:val="24"/>
        </w:rPr>
        <w:t>Līguma izbeigšana</w:t>
      </w:r>
    </w:p>
    <w:p>
      <w:pPr>
        <w:pStyle w:val="Normal"/>
        <w:numPr>
          <w:ilvl w:val="1"/>
          <w:numId w:val="40"/>
        </w:numPr>
        <w:tabs>
          <w:tab w:val="clear" w:pos="567"/>
          <w:tab w:val="left" w:pos="540" w:leader="none"/>
        </w:tabs>
        <w:suppressAutoHyphens w:val="false"/>
        <w:ind w:left="539" w:right="140" w:hanging="539"/>
        <w:jc w:val="both"/>
        <w:rPr>
          <w:rFonts w:ascii="Times New Roman" w:hAnsi="Times New Roman" w:cs="Times New Roman"/>
          <w:sz w:val="24"/>
          <w:szCs w:val="24"/>
        </w:rPr>
      </w:pPr>
      <w:r>
        <w:rPr>
          <w:rFonts w:cs="Times New Roman" w:ascii="Times New Roman" w:hAnsi="Times New Roman"/>
          <w:bCs/>
          <w:iCs/>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rFonts w:cs="Times New Roman" w:ascii="Times New Roman" w:hAnsi="Times New Roman"/>
          <w:sz w:val="24"/>
          <w:szCs w:val="24"/>
        </w:rPr>
        <w:t>.</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Pasūtītājam ir tiesības ar rakstveida paziņojumu Izpildītājam vienpusēji izbeigt Līgumu:</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ja Izpildītājs 5 (piecu) dienu laikā no noteiktā izpildes termiņa notecējuma nav veicis pakalpojumu. Šajā gadījumā Pasūtītājam ir tiesības piemērot Izpildītājam vienreizēju līgumsodu 10 % (desmit procentu) apmērā no konkrētā pakalpojuma cenas;</w:t>
      </w:r>
    </w:p>
    <w:p>
      <w:pPr>
        <w:pStyle w:val="Normal"/>
        <w:numPr>
          <w:ilvl w:val="2"/>
          <w:numId w:val="40"/>
        </w:numPr>
        <w:tabs>
          <w:tab w:val="clear" w:pos="567"/>
          <w:tab w:val="left" w:pos="1276" w:leader="none"/>
        </w:tabs>
        <w:suppressAutoHyphens w:val="false"/>
        <w:ind w:left="1276" w:right="140" w:hanging="709"/>
        <w:jc w:val="both"/>
        <w:rPr>
          <w:rFonts w:ascii="Times New Roman" w:hAnsi="Times New Roman" w:cs="Times New Roman"/>
          <w:sz w:val="24"/>
          <w:szCs w:val="24"/>
        </w:rPr>
      </w:pPr>
      <w:r>
        <w:rPr>
          <w:rFonts w:cs="Times New Roman" w:ascii="Times New Roman" w:hAnsi="Times New Roman"/>
          <w:sz w:val="24"/>
          <w:szCs w:val="24"/>
        </w:rPr>
        <w:t xml:space="preserve">ja </w:t>
      </w:r>
      <w:r>
        <w:rPr>
          <w:rFonts w:cs="Times New Roman" w:ascii="Times New Roman" w:hAnsi="Times New Roman"/>
          <w:bCs/>
          <w:iCs/>
          <w:sz w:val="24"/>
          <w:szCs w:val="24"/>
        </w:rPr>
        <w:t xml:space="preserve">tiek pasludināts </w:t>
      </w:r>
      <w:r>
        <w:rPr>
          <w:rFonts w:cs="Times New Roman" w:ascii="Times New Roman" w:hAnsi="Times New Roman"/>
          <w:sz w:val="24"/>
          <w:szCs w:val="24"/>
        </w:rPr>
        <w:t>Izpildītāj</w:t>
      </w:r>
      <w:r>
        <w:rPr>
          <w:rFonts w:cs="Times New Roman" w:ascii="Times New Roman" w:hAnsi="Times New Roman"/>
          <w:bCs/>
          <w:iCs/>
          <w:sz w:val="24"/>
          <w:szCs w:val="24"/>
        </w:rPr>
        <w:t>a maksātnespējas process vai tiek uzsākts Izpildītāja likvidācijas process</w:t>
      </w:r>
      <w:r>
        <w:rPr>
          <w:rFonts w:cs="Times New Roman" w:ascii="Times New Roman" w:hAnsi="Times New Roman"/>
          <w:sz w:val="24"/>
          <w:szCs w:val="24"/>
        </w:rPr>
        <w:t>.</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color w:val="000000"/>
          <w:sz w:val="24"/>
          <w:szCs w:val="24"/>
        </w:rPr>
        <w:t>Līguma izbeigšana neierobežo Pasūtītāja tiesības uz zaudējumu atlīdzību vai līgumsodu, ja Izpildītājs ir vainojams Līguma noteikumu pārkāpumā.</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Līguma 8.2.1. un 8.2.2. apakšpunktā noteiktajos gadījumos Līgums uzskatāms par izbeigtu septītajā dienā pēc Pasūtītāja paziņojuma par Līguma izbeigšanu (ierakstīta vēstule) izsūtīšanas dienas.</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color w:val="000000"/>
          <w:sz w:val="24"/>
          <w:szCs w:val="24"/>
        </w:rPr>
        <w:t xml:space="preserve">Gadījumā, ja </w:t>
      </w:r>
      <w:r>
        <w:rPr>
          <w:rFonts w:cs="Times New Roman" w:ascii="Times New Roman" w:hAnsi="Times New Roman"/>
          <w:sz w:val="24"/>
          <w:szCs w:val="24"/>
        </w:rPr>
        <w:t xml:space="preserve">Pasūtītājs </w:t>
      </w:r>
      <w:r>
        <w:rPr>
          <w:rFonts w:cs="Times New Roman" w:ascii="Times New Roman" w:hAnsi="Times New Roman"/>
          <w:color w:val="000000"/>
          <w:sz w:val="24"/>
          <w:szCs w:val="24"/>
        </w:rPr>
        <w:t xml:space="preserve">nokavē samaksas par veikto pakalpojumu termiņu par  15 (piecpadsmit) dienām, </w:t>
      </w:r>
      <w:r>
        <w:rPr>
          <w:rFonts w:cs="Times New Roman" w:ascii="Times New Roman" w:hAnsi="Times New Roman"/>
          <w:sz w:val="24"/>
          <w:szCs w:val="24"/>
        </w:rPr>
        <w:t xml:space="preserve">Piegādātājam </w:t>
      </w:r>
      <w:r>
        <w:rPr>
          <w:rFonts w:cs="Times New Roman" w:ascii="Times New Roman" w:hAnsi="Times New Roman"/>
          <w:color w:val="000000"/>
          <w:sz w:val="24"/>
          <w:szCs w:val="24"/>
        </w:rPr>
        <w:t xml:space="preserve">ir tiesības ar ierakstītu vēstuli vai paziņojumu, kura saņemšanu ir apstiprinājis </w:t>
      </w:r>
      <w:r>
        <w:rPr>
          <w:rFonts w:cs="Times New Roman" w:ascii="Times New Roman" w:hAnsi="Times New Roman"/>
          <w:sz w:val="24"/>
          <w:szCs w:val="24"/>
        </w:rPr>
        <w:t>Pasūtītājs</w:t>
      </w:r>
      <w:r>
        <w:rPr>
          <w:rFonts w:cs="Times New Roman" w:ascii="Times New Roman" w:hAnsi="Times New Roman"/>
          <w:color w:val="000000"/>
          <w:sz w:val="24"/>
          <w:szCs w:val="24"/>
        </w:rPr>
        <w:t>, brīdināt Pasūtītāju par vienpusēju pirmstermiņa Līguma izbeigšanu</w:t>
      </w:r>
      <w:r>
        <w:rPr>
          <w:rFonts w:cs="Times New Roman" w:ascii="Times New Roman" w:hAnsi="Times New Roman"/>
          <w:sz w:val="24"/>
          <w:szCs w:val="24"/>
        </w:rPr>
        <w:t xml:space="preserve">. </w:t>
      </w:r>
    </w:p>
    <w:p>
      <w:pPr>
        <w:pStyle w:val="Normal"/>
        <w:ind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40"/>
        </w:numPr>
        <w:tabs>
          <w:tab w:val="clear" w:pos="567"/>
          <w:tab w:val="left" w:pos="284" w:leader="none"/>
        </w:tabs>
        <w:suppressAutoHyphens w:val="false"/>
        <w:spacing w:before="0" w:after="120"/>
        <w:ind w:left="357" w:right="142" w:hanging="357"/>
        <w:jc w:val="center"/>
        <w:rPr>
          <w:rFonts w:ascii="Times New Roman" w:hAnsi="Times New Roman" w:cs="Times New Roman"/>
          <w:b/>
          <w:b/>
          <w:sz w:val="24"/>
          <w:szCs w:val="24"/>
        </w:rPr>
      </w:pPr>
      <w:r>
        <w:rPr>
          <w:rFonts w:cs="Times New Roman" w:ascii="Times New Roman" w:hAnsi="Times New Roman"/>
          <w:b/>
          <w:sz w:val="24"/>
          <w:szCs w:val="24"/>
        </w:rPr>
        <w:t>Strīdu izskatīšanas kārtība</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color w:val="000000"/>
          <w:sz w:val="24"/>
          <w:szCs w:val="24"/>
        </w:rPr>
        <w:t>Visas domstarpības un strīdi, kas rodas starp Līdzējiem saistībā ar Līguma izpildi, tiek atrisināti</w:t>
      </w:r>
      <w:r>
        <w:rPr>
          <w:rFonts w:cs="Times New Roman" w:ascii="Times New Roman" w:hAnsi="Times New Roman"/>
          <w:sz w:val="24"/>
          <w:szCs w:val="24"/>
        </w:rPr>
        <w:t xml:space="preserve"> </w:t>
      </w:r>
      <w:r>
        <w:rPr>
          <w:rFonts w:cs="Times New Roman" w:ascii="Times New Roman" w:hAnsi="Times New Roman"/>
          <w:color w:val="000000"/>
          <w:sz w:val="24"/>
          <w:szCs w:val="24"/>
        </w:rPr>
        <w:t>savstarpēju pārrunu ceļā, ja nepieciešams, papildinot vai grozot Līguma tekstu</w:t>
      </w:r>
      <w:r>
        <w:rPr>
          <w:rFonts w:cs="Times New Roman" w:ascii="Times New Roman" w:hAnsi="Times New Roman"/>
          <w:sz w:val="24"/>
          <w:szCs w:val="24"/>
        </w:rPr>
        <w:t xml:space="preserve">. </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color w:val="000000"/>
          <w:sz w:val="24"/>
          <w:szCs w:val="24"/>
        </w:rPr>
        <w:t xml:space="preserve">Ja Līdzēji nespēj strīdu atrisināt savstarpēju pārrunu ceļā, </w:t>
      </w:r>
      <w:r>
        <w:rPr>
          <w:rFonts w:cs="Times New Roman" w:ascii="Times New Roman" w:hAnsi="Times New Roman"/>
          <w:sz w:val="24"/>
          <w:szCs w:val="24"/>
        </w:rPr>
        <w:t>tas tiek risināts tiesā Latvijas Republikas spēkā esošo normatīvo aktu noteiktajā kārtībā.</w:t>
      </w:r>
    </w:p>
    <w:p>
      <w:pPr>
        <w:pStyle w:val="Normal"/>
        <w:ind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40"/>
        </w:numPr>
        <w:suppressAutoHyphens w:val="false"/>
        <w:spacing w:before="0" w:after="120"/>
        <w:ind w:left="357" w:right="140" w:hanging="357"/>
        <w:jc w:val="center"/>
        <w:rPr>
          <w:rFonts w:ascii="Times New Roman" w:hAnsi="Times New Roman" w:cs="Times New Roman"/>
          <w:b/>
          <w:b/>
          <w:bCs/>
          <w:sz w:val="24"/>
          <w:szCs w:val="24"/>
        </w:rPr>
      </w:pPr>
      <w:r>
        <w:rPr>
          <w:rFonts w:cs="Times New Roman" w:ascii="Times New Roman" w:hAnsi="Times New Roman"/>
          <w:b/>
          <w:bCs/>
          <w:sz w:val="24"/>
          <w:szCs w:val="24"/>
        </w:rPr>
        <w:t>Līguma grozījumi</w:t>
      </w:r>
    </w:p>
    <w:p>
      <w:pPr>
        <w:pStyle w:val="Normal"/>
        <w:numPr>
          <w:ilvl w:val="1"/>
          <w:numId w:val="40"/>
        </w:numPr>
        <w:tabs>
          <w:tab w:val="left" w:pos="567"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color w:val="000000"/>
          <w:sz w:val="24"/>
          <w:szCs w:val="24"/>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pPr>
        <w:pStyle w:val="Normal"/>
        <w:numPr>
          <w:ilvl w:val="1"/>
          <w:numId w:val="40"/>
        </w:numPr>
        <w:tabs>
          <w:tab w:val="left" w:pos="567"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Pasūtītājam ir tiesības veikt Līguma grozījumus saskaņā ar Publisko iepirkumu likuma              61. pantu, nemainot Līguma vispārējo raksturu, veidu un mērķi un, ja grozījumi atbilst vienam no šādiem gadījumiem:</w:t>
      </w:r>
    </w:p>
    <w:p>
      <w:pPr>
        <w:pStyle w:val="Normal"/>
        <w:numPr>
          <w:ilvl w:val="2"/>
          <w:numId w:val="40"/>
        </w:numPr>
        <w:tabs>
          <w:tab w:val="clear" w:pos="567"/>
          <w:tab w:val="left" w:pos="1418" w:leader="none"/>
          <w:tab w:val="left" w:pos="1985" w:leader="none"/>
        </w:tabs>
        <w:suppressAutoHyphens w:val="false"/>
        <w:ind w:left="1418" w:right="140" w:hanging="862"/>
        <w:jc w:val="both"/>
        <w:rPr>
          <w:rFonts w:ascii="Times New Roman" w:hAnsi="Times New Roman" w:cs="Times New Roman"/>
          <w:color w:val="000000"/>
          <w:sz w:val="24"/>
          <w:szCs w:val="24"/>
        </w:rPr>
      </w:pPr>
      <w:r>
        <w:rPr>
          <w:rFonts w:cs="Times New Roman" w:ascii="Times New Roman" w:hAnsi="Times New Roman"/>
          <w:sz w:val="24"/>
          <w:szCs w:val="24"/>
        </w:rPr>
        <w:t>grozījumi ir nebūtiski;</w:t>
      </w:r>
    </w:p>
    <w:p>
      <w:pPr>
        <w:pStyle w:val="Normal"/>
        <w:numPr>
          <w:ilvl w:val="2"/>
          <w:numId w:val="40"/>
        </w:numPr>
        <w:tabs>
          <w:tab w:val="clear" w:pos="567"/>
          <w:tab w:val="left" w:pos="1418" w:leader="none"/>
          <w:tab w:val="left" w:pos="1985" w:leader="none"/>
        </w:tabs>
        <w:suppressAutoHyphens w:val="false"/>
        <w:ind w:left="1418" w:right="140" w:hanging="862"/>
        <w:jc w:val="both"/>
        <w:rPr>
          <w:rFonts w:ascii="Times New Roman" w:hAnsi="Times New Roman" w:cs="Times New Roman"/>
          <w:color w:val="000000"/>
          <w:sz w:val="24"/>
          <w:szCs w:val="24"/>
        </w:rPr>
      </w:pPr>
      <w:r>
        <w:rPr>
          <w:rFonts w:cs="Times New Roman" w:ascii="Times New Roman" w:hAnsi="Times New Roman"/>
          <w:sz w:val="24"/>
          <w:szCs w:val="24"/>
        </w:rPr>
        <w:t>grozījumi ir būtiski un tiek izdarīti Publisko iepirkumu likuma 61. panta trešajā daļā minētajos gadījumos;</w:t>
      </w:r>
    </w:p>
    <w:p>
      <w:pPr>
        <w:pStyle w:val="Normal"/>
        <w:numPr>
          <w:ilvl w:val="2"/>
          <w:numId w:val="40"/>
        </w:numPr>
        <w:tabs>
          <w:tab w:val="clear" w:pos="567"/>
          <w:tab w:val="left" w:pos="1418" w:leader="none"/>
          <w:tab w:val="left" w:pos="1985" w:leader="none"/>
        </w:tabs>
        <w:suppressAutoHyphens w:val="false"/>
        <w:ind w:left="1418" w:right="140" w:hanging="862"/>
        <w:jc w:val="both"/>
        <w:rPr>
          <w:rFonts w:ascii="Times New Roman" w:hAnsi="Times New Roman" w:cs="Times New Roman"/>
          <w:color w:val="000000"/>
          <w:sz w:val="24"/>
          <w:szCs w:val="24"/>
        </w:rPr>
      </w:pPr>
      <w:r>
        <w:rPr>
          <w:rFonts w:cs="Times New Roman" w:ascii="Times New Roman" w:hAnsi="Times New Roman"/>
          <w:sz w:val="24"/>
          <w:szCs w:val="24"/>
        </w:rPr>
        <w:t>grozījumi tiek izdarīti Publisko iepirkumu likuma 61. panta piektajā daļā minētajā gadījumā neatkarīgi no tā, vai tie ir būtiski vai nebūtiski.</w:t>
      </w:r>
    </w:p>
    <w:p>
      <w:pPr>
        <w:pStyle w:val="Normal"/>
        <w:numPr>
          <w:ilvl w:val="1"/>
          <w:numId w:val="40"/>
        </w:numPr>
        <w:tabs>
          <w:tab w:val="left" w:pos="567" w:leader="none"/>
        </w:tabs>
        <w:suppressAutoHyphens w:val="false"/>
        <w:ind w:left="567" w:right="140" w:hanging="567"/>
        <w:jc w:val="both"/>
        <w:rPr>
          <w:rFonts w:ascii="Times New Roman" w:hAnsi="Times New Roman" w:cs="Times New Roman"/>
          <w:bCs/>
          <w:sz w:val="24"/>
          <w:szCs w:val="24"/>
        </w:rPr>
      </w:pPr>
      <w:r>
        <w:rPr>
          <w:rFonts w:cs="Times New Roman" w:ascii="Times New Roman" w:hAnsi="Times New Roman"/>
          <w:bCs/>
          <w:sz w:val="24"/>
          <w:szCs w:val="24"/>
        </w:rPr>
        <w:t>Pasūtītājs Līguma izpildes laikā var pieļaut Līguma grozījumu veikšanu šādos gadījumos:</w:t>
      </w:r>
    </w:p>
    <w:p>
      <w:pPr>
        <w:pStyle w:val="Normal"/>
        <w:numPr>
          <w:ilvl w:val="2"/>
          <w:numId w:val="40"/>
        </w:numPr>
        <w:tabs>
          <w:tab w:val="clear" w:pos="567"/>
          <w:tab w:val="left" w:pos="1418" w:leader="none"/>
        </w:tabs>
        <w:suppressAutoHyphens w:val="false"/>
        <w:ind w:left="1418" w:right="140" w:hanging="851"/>
        <w:jc w:val="both"/>
        <w:rPr>
          <w:rFonts w:ascii="Times New Roman" w:hAnsi="Times New Roman" w:cs="Times New Roman"/>
          <w:bCs/>
          <w:sz w:val="24"/>
          <w:szCs w:val="24"/>
        </w:rPr>
      </w:pPr>
      <w:r>
        <w:rPr>
          <w:rFonts w:cs="Times New Roman" w:ascii="Times New Roman" w:hAnsi="Times New Roman"/>
          <w:bCs/>
          <w:sz w:val="24"/>
          <w:szCs w:val="24"/>
        </w:rPr>
        <w:t>ja objektīvu apstākļu dēļ pakalpojuma izpildes laikā Pasūtītājs ir uzdevis veikt Izpildītājam Līgumā vai Iepirkuma nolikuma Tehniskajā specifikācijā neparedzētu darbu izpildi;</w:t>
      </w:r>
    </w:p>
    <w:p>
      <w:pPr>
        <w:pStyle w:val="Normal"/>
        <w:numPr>
          <w:ilvl w:val="2"/>
          <w:numId w:val="40"/>
        </w:numPr>
        <w:tabs>
          <w:tab w:val="clear" w:pos="567"/>
          <w:tab w:val="left" w:pos="1418" w:leader="none"/>
        </w:tabs>
        <w:suppressAutoHyphens w:val="false"/>
        <w:ind w:left="1418" w:right="140" w:hanging="851"/>
        <w:jc w:val="both"/>
        <w:rPr>
          <w:rFonts w:ascii="Times New Roman" w:hAnsi="Times New Roman" w:cs="Times New Roman"/>
          <w:bCs/>
          <w:sz w:val="24"/>
          <w:szCs w:val="24"/>
        </w:rPr>
      </w:pPr>
      <w:r>
        <w:rPr>
          <w:rFonts w:cs="Times New Roman" w:ascii="Times New Roman" w:hAnsi="Times New Roman"/>
          <w:bCs/>
          <w:sz w:val="24"/>
          <w:szCs w:val="24"/>
        </w:rPr>
        <w:t>neparedzētie darbi ir ierosināti pēc Pasūtītāja iniciatīvas, Pasūtītājam precizējot vai papildinot Līguma priekšmetu;</w:t>
      </w:r>
    </w:p>
    <w:p>
      <w:pPr>
        <w:pStyle w:val="Normal"/>
        <w:numPr>
          <w:ilvl w:val="2"/>
          <w:numId w:val="40"/>
        </w:numPr>
        <w:tabs>
          <w:tab w:val="clear" w:pos="567"/>
          <w:tab w:val="left" w:pos="1418" w:leader="none"/>
        </w:tabs>
        <w:suppressAutoHyphens w:val="false"/>
        <w:ind w:left="1418" w:right="140" w:hanging="851"/>
        <w:jc w:val="both"/>
        <w:rPr>
          <w:rFonts w:ascii="Times New Roman" w:hAnsi="Times New Roman" w:cs="Times New Roman"/>
          <w:bCs/>
          <w:sz w:val="24"/>
          <w:szCs w:val="24"/>
        </w:rPr>
      </w:pPr>
      <w:r>
        <w:rPr>
          <w:rFonts w:cs="Times New Roman" w:ascii="Times New Roman" w:hAnsi="Times New Roman"/>
          <w:bCs/>
          <w:sz w:val="24"/>
          <w:szCs w:val="24"/>
        </w:rPr>
        <w:t>Līguma izpildes laikā atklājas, ka nepieciešami tādi darbu apjomi, kuri pirms tam nebija noteikti, un tie ir nepieciešami pilnvērtīgai Līguma izpildei.</w:t>
      </w:r>
    </w:p>
    <w:p>
      <w:pPr>
        <w:pStyle w:val="Normal"/>
        <w:numPr>
          <w:ilvl w:val="1"/>
          <w:numId w:val="40"/>
        </w:numPr>
        <w:tabs>
          <w:tab w:val="left" w:pos="567" w:leader="none"/>
        </w:tabs>
        <w:suppressAutoHyphens w:val="false"/>
        <w:ind w:left="567" w:right="140" w:hanging="567"/>
        <w:jc w:val="both"/>
        <w:rPr>
          <w:rFonts w:ascii="Times New Roman" w:hAnsi="Times New Roman" w:cs="Times New Roman"/>
          <w:bCs/>
          <w:sz w:val="24"/>
          <w:szCs w:val="24"/>
        </w:rPr>
      </w:pPr>
      <w:r>
        <w:rPr>
          <w:rFonts w:cs="Times New Roman" w:ascii="Times New Roman" w:hAnsi="Times New Roman"/>
          <w:bCs/>
          <w:iCs/>
          <w:sz w:val="24"/>
          <w:szCs w:val="24"/>
        </w:rPr>
        <w:t xml:space="preserve">Ja Līguma izpildes laikā ir radušies apstākļi, kas aizkavē Līgumā noteikto darbu izpildi, </w:t>
      </w:r>
      <w:r>
        <w:rPr>
          <w:rFonts w:cs="Times New Roman" w:ascii="Times New Roman" w:hAnsi="Times New Roman"/>
          <w:sz w:val="24"/>
          <w:szCs w:val="24"/>
        </w:rPr>
        <w:t xml:space="preserve">Izpildītājam </w:t>
      </w:r>
      <w:r>
        <w:rPr>
          <w:rFonts w:cs="Times New Roman" w:ascii="Times New Roman" w:hAnsi="Times New Roman"/>
          <w:bCs/>
          <w:iCs/>
          <w:sz w:val="24"/>
          <w:szCs w:val="24"/>
        </w:rPr>
        <w:t xml:space="preserve">ir nekavējoties rakstveidā jāpaziņo Pasūtītājam par aizkavēšanās faktu, par tā iespējamo ilgumu un iemesliem. Pēc </w:t>
      </w:r>
      <w:r>
        <w:rPr>
          <w:rFonts w:cs="Times New Roman" w:ascii="Times New Roman" w:hAnsi="Times New Roman"/>
          <w:sz w:val="24"/>
          <w:szCs w:val="24"/>
        </w:rPr>
        <w:t xml:space="preserve">Izpildītāja </w:t>
      </w:r>
      <w:r>
        <w:rPr>
          <w:rFonts w:cs="Times New Roman" w:ascii="Times New Roman" w:hAnsi="Times New Roman"/>
          <w:bCs/>
          <w:iCs/>
          <w:sz w:val="24"/>
          <w:szCs w:val="24"/>
        </w:rPr>
        <w:t xml:space="preserve">paziņojuma saņemšanas Pasūtītājam ir jānovērtē situācija un, ja nepieciešams, jāpagarina </w:t>
      </w:r>
      <w:r>
        <w:rPr>
          <w:rFonts w:cs="Times New Roman" w:ascii="Times New Roman" w:hAnsi="Times New Roman"/>
          <w:sz w:val="24"/>
          <w:szCs w:val="24"/>
        </w:rPr>
        <w:t xml:space="preserve">Izpildītāja </w:t>
      </w:r>
      <w:r>
        <w:rPr>
          <w:rFonts w:cs="Times New Roman" w:ascii="Times New Roman" w:hAnsi="Times New Roman"/>
          <w:bCs/>
          <w:iCs/>
          <w:sz w:val="24"/>
          <w:szCs w:val="24"/>
        </w:rPr>
        <w:t>saistību izpildes termiņš. Šādā gadījumā pagarinājums ir jāakceptē abiem Līdzējiem ar Līguma izmaiņām.</w:t>
      </w:r>
    </w:p>
    <w:p>
      <w:pPr>
        <w:pStyle w:val="Normal"/>
        <w:suppressAutoHyphens w:val="false"/>
        <w:ind w:left="567" w:right="140" w:hanging="0"/>
        <w:jc w:val="both"/>
        <w:rPr>
          <w:rFonts w:ascii="Times New Roman" w:hAnsi="Times New Roman" w:cs="Times New Roman"/>
          <w:bCs/>
          <w:sz w:val="24"/>
          <w:szCs w:val="24"/>
        </w:rPr>
      </w:pPr>
      <w:r>
        <w:rPr>
          <w:rFonts w:cs="Times New Roman" w:ascii="Times New Roman" w:hAnsi="Times New Roman"/>
          <w:bCs/>
          <w:sz w:val="24"/>
          <w:szCs w:val="24"/>
        </w:rPr>
      </w:r>
    </w:p>
    <w:p>
      <w:pPr>
        <w:pStyle w:val="Normal"/>
        <w:ind w:left="567" w:right="140" w:hanging="0"/>
        <w:jc w:val="both"/>
        <w:rPr>
          <w:rFonts w:ascii="Times New Roman" w:hAnsi="Times New Roman" w:cs="Times New Roman"/>
          <w:bCs/>
          <w:sz w:val="24"/>
          <w:szCs w:val="24"/>
        </w:rPr>
      </w:pPr>
      <w:r>
        <w:rPr>
          <w:rFonts w:cs="Times New Roman" w:ascii="Times New Roman" w:hAnsi="Times New Roman"/>
          <w:bCs/>
          <w:sz w:val="24"/>
          <w:szCs w:val="24"/>
        </w:rPr>
      </w:r>
    </w:p>
    <w:p>
      <w:pPr>
        <w:pStyle w:val="Normal"/>
        <w:numPr>
          <w:ilvl w:val="0"/>
          <w:numId w:val="40"/>
        </w:numPr>
        <w:tabs>
          <w:tab w:val="clear" w:pos="567"/>
          <w:tab w:val="left" w:pos="900" w:leader="none"/>
          <w:tab w:val="left" w:pos="1080" w:leader="none"/>
        </w:tabs>
        <w:suppressAutoHyphens w:val="false"/>
        <w:spacing w:before="0" w:after="120"/>
        <w:ind w:left="360" w:right="140" w:hanging="360"/>
        <w:jc w:val="center"/>
        <w:rPr>
          <w:rFonts w:ascii="Times New Roman" w:hAnsi="Times New Roman" w:cs="Times New Roman"/>
          <w:b/>
          <w:b/>
          <w:color w:val="000000"/>
          <w:sz w:val="24"/>
          <w:szCs w:val="24"/>
        </w:rPr>
      </w:pPr>
      <w:r>
        <w:rPr>
          <w:rFonts w:cs="Times New Roman" w:ascii="Times New Roman" w:hAnsi="Times New Roman"/>
          <w:b/>
          <w:color w:val="000000"/>
          <w:sz w:val="24"/>
          <w:szCs w:val="24"/>
        </w:rPr>
        <w:t>Personas datu aizsardzība</w:t>
      </w:r>
    </w:p>
    <w:p>
      <w:pPr>
        <w:pStyle w:val="Normal"/>
        <w:numPr>
          <w:ilvl w:val="1"/>
          <w:numId w:val="40"/>
        </w:numPr>
        <w:tabs>
          <w:tab w:val="left" w:pos="567" w:leader="none"/>
        </w:tabs>
        <w:suppressAutoHyphens w:val="false"/>
        <w:ind w:left="567" w:right="140" w:hanging="567"/>
        <w:jc w:val="both"/>
        <w:rPr>
          <w:rFonts w:ascii="Times New Roman" w:hAnsi="Times New Roman" w:cs="Times New Roman"/>
          <w:iCs/>
          <w:sz w:val="24"/>
          <w:szCs w:val="24"/>
        </w:rPr>
      </w:pPr>
      <w:r>
        <w:rPr>
          <w:rFonts w:cs="Times New Roman" w:ascii="Times New Roman" w:hAnsi="Times New Roman"/>
          <w:sz w:val="24"/>
          <w:szCs w:val="24"/>
        </w:rPr>
        <w:t>Ja Līguma un ar to saistīto pienākumu izpildes gaitā Līdzēju rīcībā nonāk informācija, kas saistīta ar konkrētām fiziskām personām, turpmāk tekstā – Personas dati, Līdzēji apņemas:</w:t>
      </w:r>
    </w:p>
    <w:p>
      <w:pPr>
        <w:pStyle w:val="Normal"/>
        <w:numPr>
          <w:ilvl w:val="2"/>
          <w:numId w:val="40"/>
        </w:numPr>
        <w:tabs>
          <w:tab w:val="clear" w:pos="567"/>
          <w:tab w:val="left" w:pos="1418" w:leader="none"/>
          <w:tab w:val="left" w:pos="2160" w:leader="none"/>
        </w:tabs>
        <w:suppressAutoHyphens w:val="false"/>
        <w:ind w:left="1418" w:right="140" w:hanging="851"/>
        <w:jc w:val="both"/>
        <w:rPr>
          <w:rFonts w:ascii="Times New Roman" w:hAnsi="Times New Roman" w:cs="Times New Roman"/>
          <w:iCs/>
          <w:sz w:val="24"/>
          <w:szCs w:val="24"/>
        </w:rPr>
      </w:pPr>
      <w:r>
        <w:rPr>
          <w:rFonts w:cs="Times New Roman" w:ascii="Times New Roman" w:hAnsi="Times New Roman"/>
          <w:sz w:val="24"/>
          <w:szCs w:val="24"/>
        </w:rPr>
        <w:t>Personas datus izmantot tikai Līgumā noteikto pienākumu pildīšanai un mērķu sasniegšanai;</w:t>
      </w:r>
    </w:p>
    <w:p>
      <w:pPr>
        <w:pStyle w:val="Normal"/>
        <w:numPr>
          <w:ilvl w:val="2"/>
          <w:numId w:val="40"/>
        </w:numPr>
        <w:tabs>
          <w:tab w:val="clear" w:pos="567"/>
          <w:tab w:val="left" w:pos="1418" w:leader="none"/>
          <w:tab w:val="left" w:pos="2160" w:leader="none"/>
        </w:tabs>
        <w:suppressAutoHyphens w:val="false"/>
        <w:ind w:left="1418" w:right="140" w:hanging="851"/>
        <w:jc w:val="both"/>
        <w:rPr>
          <w:rFonts w:ascii="Times New Roman" w:hAnsi="Times New Roman" w:cs="Times New Roman"/>
          <w:iCs/>
          <w:sz w:val="24"/>
          <w:szCs w:val="24"/>
        </w:rPr>
      </w:pPr>
      <w:r>
        <w:rPr>
          <w:rFonts w:cs="Times New Roman" w:ascii="Times New Roman" w:hAnsi="Times New Roman"/>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pPr>
        <w:pStyle w:val="Normal"/>
        <w:numPr>
          <w:ilvl w:val="2"/>
          <w:numId w:val="40"/>
        </w:numPr>
        <w:tabs>
          <w:tab w:val="clear" w:pos="567"/>
          <w:tab w:val="left" w:pos="1418" w:leader="none"/>
          <w:tab w:val="left" w:pos="2160" w:leader="none"/>
        </w:tabs>
        <w:suppressAutoHyphens w:val="false"/>
        <w:ind w:left="1418" w:right="140" w:hanging="851"/>
        <w:jc w:val="both"/>
        <w:rPr>
          <w:rFonts w:ascii="Times New Roman" w:hAnsi="Times New Roman" w:cs="Times New Roman"/>
          <w:iCs/>
          <w:sz w:val="24"/>
          <w:szCs w:val="24"/>
        </w:rPr>
      </w:pPr>
      <w:r>
        <w:rPr>
          <w:rFonts w:cs="Times New Roman" w:ascii="Times New Roman" w:hAnsi="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pPr>
        <w:pStyle w:val="Normal"/>
        <w:numPr>
          <w:ilvl w:val="2"/>
          <w:numId w:val="40"/>
        </w:numPr>
        <w:tabs>
          <w:tab w:val="clear" w:pos="567"/>
          <w:tab w:val="left" w:pos="1418" w:leader="none"/>
          <w:tab w:val="left" w:pos="2160" w:leader="none"/>
        </w:tabs>
        <w:suppressAutoHyphens w:val="false"/>
        <w:ind w:left="1418" w:right="140" w:hanging="851"/>
        <w:jc w:val="both"/>
        <w:rPr>
          <w:rFonts w:ascii="Times New Roman" w:hAnsi="Times New Roman" w:cs="Times New Roman"/>
          <w:iCs/>
          <w:sz w:val="24"/>
          <w:szCs w:val="24"/>
        </w:rPr>
      </w:pPr>
      <w:r>
        <w:rPr>
          <w:rFonts w:cs="Times New Roman" w:ascii="Times New Roman" w:hAnsi="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pPr>
        <w:pStyle w:val="Normal"/>
        <w:numPr>
          <w:ilvl w:val="2"/>
          <w:numId w:val="40"/>
        </w:numPr>
        <w:tabs>
          <w:tab w:val="clear" w:pos="567"/>
          <w:tab w:val="left" w:pos="1418" w:leader="none"/>
          <w:tab w:val="left" w:pos="2160" w:leader="none"/>
        </w:tabs>
        <w:suppressAutoHyphens w:val="false"/>
        <w:ind w:left="1418" w:right="140" w:hanging="851"/>
        <w:jc w:val="both"/>
        <w:rPr>
          <w:rFonts w:ascii="Times New Roman" w:hAnsi="Times New Roman" w:cs="Times New Roman"/>
          <w:iCs/>
          <w:sz w:val="24"/>
          <w:szCs w:val="24"/>
        </w:rPr>
      </w:pPr>
      <w:r>
        <w:rPr>
          <w:rFonts w:cs="Times New Roman" w:ascii="Times New Roman" w:hAnsi="Times New Roman"/>
          <w:iCs/>
          <w:sz w:val="24"/>
          <w:szCs w:val="24"/>
        </w:rPr>
        <w:t>n</w:t>
      </w:r>
      <w:r>
        <w:rPr>
          <w:rFonts w:cs="Times New Roman" w:ascii="Times New Roman" w:hAnsi="Times New Roman"/>
          <w:sz w:val="24"/>
          <w:szCs w:val="24"/>
        </w:rPr>
        <w:t>ekavējoties pēc jebkura Personas datu aizsardzības pārkāpuma konstatēšanas attiecībā uz otra Līdzēja nodoto Personas datu apstrādi, informēt par to Līgumā norādīto otra Līdzēja atbildīgo personu.</w:t>
      </w:r>
    </w:p>
    <w:p>
      <w:pPr>
        <w:pStyle w:val="Normal"/>
        <w:numPr>
          <w:ilvl w:val="1"/>
          <w:numId w:val="40"/>
        </w:numPr>
        <w:tabs>
          <w:tab w:val="left" w:pos="567" w:leader="none"/>
          <w:tab w:val="left" w:pos="2160" w:leader="none"/>
        </w:tabs>
        <w:suppressAutoHyphens w:val="false"/>
        <w:ind w:left="567" w:right="140" w:hanging="567"/>
        <w:jc w:val="both"/>
        <w:rPr>
          <w:rFonts w:ascii="Times New Roman" w:hAnsi="Times New Roman" w:cs="Times New Roman"/>
          <w:iCs/>
          <w:sz w:val="24"/>
          <w:szCs w:val="24"/>
        </w:rPr>
      </w:pPr>
      <w:r>
        <w:rPr>
          <w:rFonts w:cs="Times New Roman" w:ascii="Times New Roman" w:hAnsi="Times New Roman"/>
          <w:sz w:val="24"/>
          <w:szCs w:val="24"/>
        </w:rPr>
        <w:t>Pēc Līguma termiņa beigām Izpildītājs savās sistēmās dzēš tam nodotos Personas datus vai, ja tam ir tiesisks pamats, uzglabā tos tikai normatīvajos aktos paredzēto laika periodu.</w:t>
      </w:r>
    </w:p>
    <w:p>
      <w:pPr>
        <w:pStyle w:val="Normal"/>
        <w:numPr>
          <w:ilvl w:val="1"/>
          <w:numId w:val="40"/>
        </w:numPr>
        <w:tabs>
          <w:tab w:val="left" w:pos="567" w:leader="none"/>
          <w:tab w:val="left" w:pos="2160" w:leader="none"/>
        </w:tabs>
        <w:suppressAutoHyphens w:val="false"/>
        <w:ind w:left="567" w:right="140" w:hanging="567"/>
        <w:jc w:val="both"/>
        <w:rPr>
          <w:rFonts w:ascii="Times New Roman" w:hAnsi="Times New Roman" w:cs="Times New Roman"/>
          <w:b/>
          <w:b/>
          <w:iCs/>
          <w:sz w:val="24"/>
          <w:szCs w:val="24"/>
        </w:rPr>
      </w:pPr>
      <w:r>
        <w:rPr>
          <w:rFonts w:cs="Times New Roman" w:ascii="Times New Roman" w:hAnsi="Times New Roman"/>
          <w:sz w:val="24"/>
          <w:szCs w:val="24"/>
        </w:rPr>
        <w:t>Līdzēji ievēro spēkā esošās prasības Personas datu nodošanai uz trešajām valstīm.</w:t>
      </w:r>
    </w:p>
    <w:p>
      <w:pPr>
        <w:pStyle w:val="Normal"/>
        <w:tabs>
          <w:tab w:val="clear" w:pos="567"/>
          <w:tab w:val="left" w:pos="2160" w:leader="none"/>
        </w:tabs>
        <w:ind w:left="360" w:right="140" w:hanging="0"/>
        <w:jc w:val="both"/>
        <w:rPr>
          <w:rFonts w:ascii="Times New Roman" w:hAnsi="Times New Roman" w:cs="Times New Roman"/>
          <w:b/>
          <w:b/>
          <w:iCs/>
          <w:sz w:val="24"/>
          <w:szCs w:val="24"/>
        </w:rPr>
      </w:pPr>
      <w:r>
        <w:rPr>
          <w:rFonts w:cs="Times New Roman" w:ascii="Times New Roman" w:hAnsi="Times New Roman"/>
          <w:b/>
          <w:iCs/>
          <w:sz w:val="24"/>
          <w:szCs w:val="24"/>
        </w:rPr>
      </w:r>
    </w:p>
    <w:p>
      <w:pPr>
        <w:pStyle w:val="Normal"/>
        <w:numPr>
          <w:ilvl w:val="0"/>
          <w:numId w:val="40"/>
        </w:numPr>
        <w:tabs>
          <w:tab w:val="clear" w:pos="567"/>
          <w:tab w:val="left" w:pos="284" w:leader="none"/>
        </w:tabs>
        <w:suppressAutoHyphens w:val="false"/>
        <w:spacing w:before="0" w:after="120"/>
        <w:ind w:left="357" w:right="140" w:hanging="357"/>
        <w:jc w:val="center"/>
        <w:rPr>
          <w:rFonts w:ascii="Times New Roman" w:hAnsi="Times New Roman" w:cs="Times New Roman"/>
          <w:sz w:val="24"/>
          <w:szCs w:val="24"/>
        </w:rPr>
      </w:pPr>
      <w:r>
        <w:rPr>
          <w:rFonts w:cs="Times New Roman" w:ascii="Times New Roman" w:hAnsi="Times New Roman"/>
          <w:b/>
          <w:sz w:val="24"/>
          <w:szCs w:val="24"/>
        </w:rPr>
        <w:t>Līguma spēkā esamība</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Līgums stājas spēkā ar brīdi, kad Līdzēji to ir parakstījuši. </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sz w:val="24"/>
          <w:szCs w:val="24"/>
        </w:rPr>
      </w:pPr>
      <w:r>
        <w:rPr>
          <w:rFonts w:cs="Times New Roman" w:ascii="Times New Roman" w:hAnsi="Times New Roman"/>
          <w:sz w:val="24"/>
          <w:szCs w:val="24"/>
        </w:rPr>
        <w:t xml:space="preserve">Līgums ir spēkā līdz brīdim, kad Līdzēji ir izpildījuši visas savas saistības, vai līdz brīdim, kad Līdzēji ir panākuši vienošanos par Līguma izpildes izbeigšanu, vai arī līdz brīdim, kad kāds no Līdzējiem saskaņā ar Līgumu to izbeidz vienpusēji. </w:t>
      </w:r>
    </w:p>
    <w:p>
      <w:pPr>
        <w:pStyle w:val="Normal"/>
        <w:tabs>
          <w:tab w:val="clear" w:pos="567"/>
          <w:tab w:val="left" w:pos="540" w:leader="none"/>
        </w:tabs>
        <w:ind w:left="540" w:right="14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40"/>
        </w:numPr>
        <w:tabs>
          <w:tab w:val="clear" w:pos="567"/>
          <w:tab w:val="left" w:pos="284" w:leader="none"/>
        </w:tabs>
        <w:suppressAutoHyphens w:val="false"/>
        <w:spacing w:before="0" w:after="120"/>
        <w:ind w:left="357" w:right="140" w:hanging="357"/>
        <w:jc w:val="center"/>
        <w:rPr>
          <w:rFonts w:ascii="Times New Roman" w:hAnsi="Times New Roman" w:cs="Times New Roman"/>
          <w:b/>
          <w:b/>
          <w:sz w:val="24"/>
          <w:szCs w:val="24"/>
        </w:rPr>
      </w:pPr>
      <w:r>
        <w:rPr>
          <w:rFonts w:cs="Times New Roman" w:ascii="Times New Roman" w:hAnsi="Times New Roman"/>
          <w:b/>
          <w:sz w:val="24"/>
          <w:szCs w:val="24"/>
        </w:rPr>
        <w:t>Pārējie noteikumi</w:t>
      </w:r>
    </w:p>
    <w:p>
      <w:pPr>
        <w:pStyle w:val="Normal"/>
        <w:numPr>
          <w:ilvl w:val="1"/>
          <w:numId w:val="40"/>
        </w:numPr>
        <w:tabs>
          <w:tab w:val="left" w:pos="567"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r>
        <w:rPr>
          <w:rFonts w:cs="Times New Roman" w:ascii="Times New Roman" w:hAnsi="Times New Roman"/>
          <w:color w:val="000000"/>
          <w:sz w:val="24"/>
          <w:szCs w:val="24"/>
        </w:rPr>
        <w:t>.</w:t>
      </w:r>
    </w:p>
    <w:p>
      <w:pPr>
        <w:pStyle w:val="Normal"/>
        <w:numPr>
          <w:ilvl w:val="1"/>
          <w:numId w:val="40"/>
        </w:numPr>
        <w:tabs>
          <w:tab w:val="left" w:pos="567" w:leader="none"/>
          <w:tab w:val="left" w:pos="1080"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pPr>
        <w:pStyle w:val="Normal"/>
        <w:numPr>
          <w:ilvl w:val="1"/>
          <w:numId w:val="40"/>
        </w:numPr>
        <w:tabs>
          <w:tab w:val="left" w:pos="567" w:leader="none"/>
          <w:tab w:val="left" w:pos="1080"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Līdzēji rakstiski 5 (piecu) darba dienu laikā informē viens otru par savu rekvizītu (nosaukuma, adreses, norēķinu rekvizītu un tml.) un Līdzēju pārstāvju maiņu. Šādā gadījumā atsevišķi Līguma grozījumi netiek gatavoti</w:t>
      </w:r>
      <w:r>
        <w:rPr>
          <w:rFonts w:cs="Times New Roman" w:ascii="Times New Roman" w:hAnsi="Times New Roman"/>
          <w:color w:val="000000"/>
          <w:sz w:val="24"/>
          <w:szCs w:val="24"/>
        </w:rPr>
        <w:t>.</w:t>
      </w:r>
    </w:p>
    <w:p>
      <w:pPr>
        <w:pStyle w:val="Normal"/>
        <w:numPr>
          <w:ilvl w:val="1"/>
          <w:numId w:val="40"/>
        </w:numPr>
        <w:tabs>
          <w:tab w:val="left" w:pos="567" w:leader="none"/>
          <w:tab w:val="left" w:pos="1080"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 xml:space="preserve">Gadījumos, kas nav paredzēti </w:t>
      </w:r>
      <w:r>
        <w:rPr>
          <w:rFonts w:cs="Times New Roman" w:ascii="Times New Roman" w:hAnsi="Times New Roman"/>
          <w:iCs/>
          <w:sz w:val="24"/>
          <w:szCs w:val="24"/>
        </w:rPr>
        <w:t>Līgumā</w:t>
      </w:r>
      <w:r>
        <w:rPr>
          <w:rFonts w:cs="Times New Roman" w:ascii="Times New Roman" w:hAnsi="Times New Roman"/>
          <w:sz w:val="24"/>
          <w:szCs w:val="24"/>
        </w:rPr>
        <w:t xml:space="preserve">, </w:t>
      </w:r>
      <w:r>
        <w:rPr>
          <w:rFonts w:cs="Times New Roman" w:ascii="Times New Roman" w:hAnsi="Times New Roman"/>
          <w:iCs/>
          <w:sz w:val="24"/>
          <w:szCs w:val="24"/>
        </w:rPr>
        <w:t xml:space="preserve">Līdzēji </w:t>
      </w:r>
      <w:r>
        <w:rPr>
          <w:rFonts w:cs="Times New Roman" w:ascii="Times New Roman" w:hAnsi="Times New Roman"/>
          <w:sz w:val="24"/>
          <w:szCs w:val="24"/>
        </w:rPr>
        <w:t>rīkojas saskaņā ar spēkā esošajiem normatīvajiem aktiem.</w:t>
      </w:r>
    </w:p>
    <w:p>
      <w:pPr>
        <w:pStyle w:val="Normal"/>
        <w:numPr>
          <w:ilvl w:val="1"/>
          <w:numId w:val="40"/>
        </w:numPr>
        <w:tabs>
          <w:tab w:val="left" w:pos="567" w:leader="none"/>
        </w:tabs>
        <w:suppressAutoHyphens w:val="false"/>
        <w:ind w:left="567" w:right="140" w:hanging="567"/>
        <w:jc w:val="both"/>
        <w:rPr>
          <w:rFonts w:ascii="Times New Roman" w:hAnsi="Times New Roman" w:cs="Times New Roman"/>
          <w:color w:val="000000"/>
          <w:sz w:val="24"/>
          <w:szCs w:val="24"/>
        </w:rPr>
      </w:pPr>
      <w:r>
        <w:rPr>
          <w:rFonts w:cs="Times New Roman" w:ascii="Times New Roman" w:hAnsi="Times New Roman"/>
          <w:sz w:val="24"/>
          <w:szCs w:val="24"/>
        </w:rPr>
        <w:t>Līgums ir saistošs Līdzējiem, to pilnvarotajām personām, kā arī tiesību un saistību pārņēmējiem.</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color w:val="000000"/>
          <w:sz w:val="24"/>
          <w:szCs w:val="24"/>
        </w:rPr>
      </w:pPr>
      <w:r>
        <w:rPr>
          <w:rFonts w:cs="Times New Roman" w:ascii="Times New Roman" w:hAnsi="Times New Roman"/>
          <w:sz w:val="24"/>
          <w:szCs w:val="24"/>
        </w:rPr>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color w:val="000000"/>
          <w:sz w:val="24"/>
          <w:szCs w:val="24"/>
        </w:rPr>
      </w:pPr>
      <w:r>
        <w:rPr>
          <w:rFonts w:cs="Times New Roman" w:ascii="Times New Roman" w:hAnsi="Times New Roman"/>
          <w:sz w:val="24"/>
          <w:szCs w:val="24"/>
          <w:lang w:eastAsia="en-US"/>
        </w:rPr>
        <w:t xml:space="preserve">Pasūtītāja atbildīgā persona par Līguma izpildi, tajā skaitā ar tiesībām Pasūtītāja vārdā parakstīt pieņemšanas – nodošanas aktus: </w:t>
      </w:r>
      <w:r>
        <w:rPr>
          <w:rFonts w:cs="Times New Roman" w:ascii="Times New Roman" w:hAnsi="Times New Roman"/>
          <w:bCs/>
          <w:iCs/>
          <w:color w:val="000000"/>
          <w:sz w:val="24"/>
          <w:szCs w:val="24"/>
          <w:lang w:eastAsia="en-US"/>
        </w:rPr>
        <w:t>Limbažu novada pašvaldības Centrālās pārvaldes Nekustamā īpašuma un teritoriālās plānojuma nodaļas</w:t>
      </w:r>
      <w:r>
        <w:rPr>
          <w:rFonts w:cs="Times New Roman" w:ascii="Times New Roman" w:hAnsi="Times New Roman"/>
          <w:bCs/>
          <w:iCs/>
          <w:sz w:val="24"/>
          <w:szCs w:val="24"/>
        </w:rPr>
        <w:t xml:space="preserve"> vadītāja Līga Viļčinska, tālruņa Nr. 26154564</w:t>
      </w:r>
      <w:r>
        <w:rPr>
          <w:rFonts w:cs="Times New Roman" w:ascii="Times New Roman" w:hAnsi="Times New Roman"/>
          <w:iCs/>
          <w:sz w:val="24"/>
          <w:szCs w:val="24"/>
        </w:rPr>
        <w:t>.</w:t>
      </w:r>
    </w:p>
    <w:p>
      <w:pPr>
        <w:pStyle w:val="Normal"/>
        <w:numPr>
          <w:ilvl w:val="1"/>
          <w:numId w:val="40"/>
        </w:numPr>
        <w:tabs>
          <w:tab w:val="clear" w:pos="567"/>
          <w:tab w:val="left" w:pos="540" w:leader="none"/>
        </w:tabs>
        <w:suppressAutoHyphens w:val="false"/>
        <w:ind w:left="540" w:right="140" w:hanging="540"/>
        <w:jc w:val="both"/>
        <w:rPr>
          <w:rFonts w:ascii="Times New Roman" w:hAnsi="Times New Roman" w:cs="Times New Roman"/>
          <w:color w:val="000000"/>
          <w:sz w:val="24"/>
          <w:szCs w:val="24"/>
        </w:rPr>
      </w:pPr>
      <w:r>
        <w:rPr>
          <w:rStyle w:val="CharacterStyle1"/>
          <w:rFonts w:ascii="Times New Roman" w:hAnsi="Times New Roman"/>
          <w:sz w:val="24"/>
          <w:szCs w:val="24"/>
        </w:rPr>
        <w:t xml:space="preserve">Izpildītāja </w:t>
      </w:r>
      <w:r>
        <w:rPr>
          <w:rFonts w:cs="Times New Roman" w:ascii="Times New Roman" w:hAnsi="Times New Roman"/>
          <w:sz w:val="24"/>
          <w:szCs w:val="24"/>
        </w:rPr>
        <w:t xml:space="preserve">atbildīgā persona par Līguma izpildi: </w:t>
      </w:r>
      <w:r>
        <w:rPr>
          <w:rFonts w:cs="Times New Roman" w:ascii="Times New Roman" w:hAnsi="Times New Roman"/>
          <w:bCs/>
          <w:sz w:val="24"/>
          <w:szCs w:val="24"/>
        </w:rPr>
        <w:t xml:space="preserve">______________ </w:t>
      </w:r>
      <w:r>
        <w:rPr>
          <w:rFonts w:cs="Times New Roman" w:ascii="Times New Roman" w:hAnsi="Times New Roman"/>
          <w:bCs/>
          <w:i/>
          <w:sz w:val="24"/>
          <w:szCs w:val="24"/>
        </w:rPr>
        <w:t>(amats, vārds uzvārds)</w:t>
      </w:r>
      <w:r>
        <w:rPr>
          <w:rFonts w:cs="Times New Roman" w:ascii="Times New Roman" w:hAnsi="Times New Roman"/>
          <w:bCs/>
          <w:sz w:val="24"/>
          <w:szCs w:val="24"/>
        </w:rPr>
        <w:t>, tālruņa Nr. ______________</w:t>
      </w:r>
      <w:r>
        <w:rPr>
          <w:rFonts w:cs="Times New Roman" w:ascii="Times New Roman" w:hAnsi="Times New Roman"/>
          <w:sz w:val="24"/>
          <w:szCs w:val="24"/>
        </w:rPr>
        <w:t>.</w:t>
      </w:r>
    </w:p>
    <w:p>
      <w:pPr>
        <w:pStyle w:val="Normal"/>
        <w:numPr>
          <w:ilvl w:val="1"/>
          <w:numId w:val="40"/>
        </w:numPr>
        <w:tabs>
          <w:tab w:val="clear" w:pos="567"/>
          <w:tab w:val="left" w:pos="540" w:leader="none"/>
          <w:tab w:val="left" w:pos="2615" w:leader="none"/>
        </w:tabs>
        <w:suppressAutoHyphens w:val="false"/>
        <w:ind w:left="540" w:right="140" w:hanging="540"/>
        <w:jc w:val="both"/>
        <w:rPr>
          <w:rFonts w:ascii="Times New Roman" w:hAnsi="Times New Roman" w:cs="Times New Roman"/>
          <w:color w:val="000000"/>
          <w:sz w:val="24"/>
          <w:szCs w:val="24"/>
        </w:rPr>
      </w:pPr>
      <w:r>
        <w:rPr>
          <w:rFonts w:cs="Times New Roman" w:ascii="Times New Roman" w:hAnsi="Times New Roman"/>
          <w:color w:val="000000"/>
          <w:sz w:val="24"/>
          <w:szCs w:val="24"/>
        </w:rPr>
        <w:t>Līgumam ir 2 (divi) pielikumi, kas ir tā neatņemamas sastāvdaļas:</w:t>
      </w:r>
    </w:p>
    <w:p>
      <w:pPr>
        <w:pStyle w:val="Normal"/>
        <w:numPr>
          <w:ilvl w:val="2"/>
          <w:numId w:val="40"/>
        </w:numPr>
        <w:tabs>
          <w:tab w:val="clear" w:pos="567"/>
          <w:tab w:val="left" w:pos="1418" w:leader="none"/>
        </w:tabs>
        <w:suppressAutoHyphens w:val="false"/>
        <w:ind w:left="1418" w:right="140" w:hanging="851"/>
        <w:jc w:val="both"/>
        <w:rPr>
          <w:rFonts w:ascii="Times New Roman" w:hAnsi="Times New Roman" w:cs="Times New Roman"/>
          <w:color w:val="000000"/>
          <w:sz w:val="24"/>
          <w:szCs w:val="24"/>
        </w:rPr>
      </w:pPr>
      <w:r>
        <w:rPr>
          <w:rFonts w:cs="Times New Roman" w:ascii="Times New Roman" w:hAnsi="Times New Roman"/>
          <w:color w:val="000000"/>
          <w:sz w:val="24"/>
          <w:szCs w:val="24"/>
        </w:rPr>
        <w:t>1. pielikums – Iepirkuma</w:t>
      </w:r>
      <w:r>
        <w:rPr>
          <w:rFonts w:cs="Times New Roman" w:ascii="Times New Roman" w:hAnsi="Times New Roman"/>
          <w:sz w:val="24"/>
          <w:szCs w:val="24"/>
        </w:rPr>
        <w:t xml:space="preserve"> nolikuma</w:t>
      </w:r>
      <w:r>
        <w:rPr>
          <w:rFonts w:cs="Times New Roman" w:ascii="Times New Roman" w:hAnsi="Times New Roman"/>
          <w:color w:val="000000"/>
          <w:sz w:val="24"/>
          <w:szCs w:val="24"/>
        </w:rPr>
        <w:t xml:space="preserve"> Tehniskās specifikācijas kopija uz </w:t>
      </w:r>
      <w:r>
        <w:rPr>
          <w:rFonts w:eastAsia="Arial Unicode MS" w:cs="Times New Roman" w:ascii="Times New Roman" w:hAnsi="Times New Roman"/>
          <w:sz w:val="24"/>
          <w:szCs w:val="24"/>
          <w:lang w:eastAsia="en-US"/>
        </w:rPr>
        <w:t>___ (________)</w:t>
      </w:r>
      <w:r>
        <w:rPr>
          <w:rFonts w:cs="Times New Roman" w:ascii="Times New Roman" w:hAnsi="Times New Roman"/>
          <w:color w:val="000000"/>
          <w:sz w:val="24"/>
          <w:szCs w:val="24"/>
        </w:rPr>
        <w:t xml:space="preserve"> lapām;</w:t>
      </w:r>
    </w:p>
    <w:p>
      <w:pPr>
        <w:pStyle w:val="Normal"/>
        <w:numPr>
          <w:ilvl w:val="2"/>
          <w:numId w:val="40"/>
        </w:numPr>
        <w:tabs>
          <w:tab w:val="clear" w:pos="567"/>
          <w:tab w:val="left" w:pos="1418" w:leader="none"/>
          <w:tab w:val="left" w:pos="2615" w:leader="none"/>
        </w:tabs>
        <w:suppressAutoHyphens w:val="false"/>
        <w:ind w:left="1418" w:right="140" w:hanging="851"/>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2. pielikums – Izpildītāja Piedāvājuma kopija uz </w:t>
      </w:r>
      <w:r>
        <w:rPr>
          <w:rFonts w:eastAsia="Arial Unicode MS" w:cs="Times New Roman" w:ascii="Times New Roman" w:hAnsi="Times New Roman"/>
          <w:sz w:val="24"/>
          <w:szCs w:val="24"/>
          <w:lang w:eastAsia="en-US"/>
        </w:rPr>
        <w:t>___ (________)</w:t>
      </w:r>
      <w:r>
        <w:rPr>
          <w:rFonts w:cs="Times New Roman" w:ascii="Times New Roman" w:hAnsi="Times New Roman"/>
          <w:color w:val="000000"/>
          <w:sz w:val="24"/>
          <w:szCs w:val="24"/>
        </w:rPr>
        <w:t xml:space="preserve"> lapām</w:t>
      </w:r>
      <w:r>
        <w:rPr>
          <w:rFonts w:cs="Times New Roman" w:ascii="Times New Roman" w:hAnsi="Times New Roman"/>
          <w:sz w:val="24"/>
          <w:szCs w:val="24"/>
        </w:rPr>
        <w:t>.</w:t>
      </w:r>
    </w:p>
    <w:p>
      <w:pPr>
        <w:pStyle w:val="Normal"/>
        <w:numPr>
          <w:ilvl w:val="1"/>
          <w:numId w:val="40"/>
        </w:numPr>
        <w:tabs>
          <w:tab w:val="clear" w:pos="567"/>
          <w:tab w:val="left" w:pos="709" w:leader="none"/>
        </w:tabs>
        <w:suppressAutoHyphens w:val="false"/>
        <w:ind w:left="709" w:right="140" w:hanging="709"/>
        <w:jc w:val="both"/>
        <w:rPr>
          <w:rFonts w:ascii="Times New Roman" w:hAnsi="Times New Roman" w:cs="Times New Roman"/>
          <w:b/>
          <w:b/>
          <w:caps/>
          <w:sz w:val="24"/>
          <w:szCs w:val="24"/>
        </w:rPr>
      </w:pPr>
      <w:r>
        <w:rPr>
          <w:rFonts w:cs="Times New Roman" w:ascii="Times New Roman" w:hAnsi="Times New Roman"/>
          <w:sz w:val="24"/>
          <w:szCs w:val="24"/>
        </w:rPr>
        <w:t xml:space="preserve">Līgums </w:t>
      </w:r>
      <w:r>
        <w:rPr>
          <w:rFonts w:cs="Times New Roman" w:ascii="Times New Roman" w:hAnsi="Times New Roman"/>
          <w:color w:val="000000"/>
          <w:sz w:val="24"/>
          <w:szCs w:val="24"/>
        </w:rPr>
        <w:t xml:space="preserve">sagatavots un parakstīts 2 (divos) </w:t>
      </w:r>
      <w:r>
        <w:rPr>
          <w:rFonts w:cs="Times New Roman" w:ascii="Times New Roman" w:hAnsi="Times New Roman"/>
          <w:sz w:val="24"/>
          <w:szCs w:val="24"/>
        </w:rPr>
        <w:t xml:space="preserve">eksemplāros latviešu valodā, katrs uz </w:t>
      </w:r>
      <w:r>
        <w:rPr>
          <w:rFonts w:cs="Times New Roman" w:ascii="Times New Roman" w:hAnsi="Times New Roman"/>
          <w:color w:val="000000"/>
          <w:sz w:val="24"/>
          <w:szCs w:val="24"/>
        </w:rPr>
        <w:t xml:space="preserve">___ (________) </w:t>
      </w:r>
      <w:r>
        <w:rPr>
          <w:rFonts w:cs="Times New Roman" w:ascii="Times New Roman" w:hAnsi="Times New Roman"/>
          <w:sz w:val="24"/>
          <w:szCs w:val="24"/>
        </w:rPr>
        <w:t>lapām, neieskaitot tā pielikumus</w:t>
      </w:r>
      <w:r>
        <w:rPr>
          <w:rFonts w:cs="Times New Roman" w:ascii="Times New Roman" w:hAnsi="Times New Roman"/>
          <w:caps/>
          <w:sz w:val="24"/>
          <w:szCs w:val="24"/>
        </w:rPr>
        <w:t xml:space="preserve">, </w:t>
      </w:r>
      <w:r>
        <w:rPr>
          <w:rFonts w:cs="Times New Roman" w:ascii="Times New Roman" w:hAnsi="Times New Roman"/>
          <w:sz w:val="24"/>
          <w:szCs w:val="24"/>
        </w:rPr>
        <w:t xml:space="preserve">no kuriem viens eksemplārs atrodas pie </w:t>
      </w:r>
      <w:r>
        <w:rPr>
          <w:rFonts w:cs="Times New Roman" w:ascii="Times New Roman" w:hAnsi="Times New Roman"/>
          <w:color w:val="000000"/>
          <w:sz w:val="24"/>
          <w:szCs w:val="24"/>
        </w:rPr>
        <w:t>Pasūtītāja,</w:t>
      </w:r>
      <w:r>
        <w:rPr>
          <w:rFonts w:cs="Times New Roman" w:ascii="Times New Roman" w:hAnsi="Times New Roman"/>
          <w:sz w:val="24"/>
          <w:szCs w:val="24"/>
        </w:rPr>
        <w:t xml:space="preserve"> otrs – pie Izpildītāja. Abiem Līguma eksemplāriem ir vienāds juridiskais spēks. </w:t>
      </w:r>
    </w:p>
    <w:p>
      <w:pPr>
        <w:pStyle w:val="Normal"/>
        <w:ind w:right="140" w:hanging="0"/>
        <w:jc w:val="both"/>
        <w:rPr>
          <w:rFonts w:ascii="Times New Roman" w:hAnsi="Times New Roman" w:cs="Times New Roman"/>
          <w:sz w:val="24"/>
          <w:szCs w:val="24"/>
        </w:rPr>
      </w:pPr>
      <w:r>
        <w:rPr>
          <w:rFonts w:cs="Times New Roman" w:ascii="Times New Roman" w:hAnsi="Times New Roman"/>
          <w:sz w:val="24"/>
          <w:szCs w:val="24"/>
        </w:rPr>
      </w:r>
    </w:p>
    <w:p>
      <w:pPr>
        <w:pStyle w:val="Virsraksts1"/>
        <w:numPr>
          <w:ilvl w:val="0"/>
          <w:numId w:val="0"/>
        </w:numPr>
        <w:spacing w:before="0" w:after="120"/>
        <w:ind w:left="2269" w:right="140" w:hanging="0"/>
        <w:jc w:val="left"/>
        <w:rPr>
          <w:sz w:val="24"/>
          <w:szCs w:val="24"/>
        </w:rPr>
      </w:pPr>
      <w:r>
        <w:rPr>
          <w:b w:val="false"/>
          <w:sz w:val="24"/>
          <w:szCs w:val="24"/>
        </w:rPr>
        <w:t xml:space="preserve">           </w:t>
      </w:r>
      <w:r>
        <w:rPr>
          <w:b w:val="false"/>
          <w:sz w:val="24"/>
          <w:szCs w:val="24"/>
        </w:rPr>
        <w:t>Līdzēju rekvizīti un paraksti</w:t>
      </w:r>
    </w:p>
    <w:tbl>
      <w:tblPr>
        <w:tblW w:w="9540"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4678"/>
        <w:gridCol w:w="4861"/>
      </w:tblGrid>
      <w:tr>
        <w:trPr>
          <w:trHeight w:val="3134" w:hRule="atLeast"/>
        </w:trPr>
        <w:tc>
          <w:tcPr>
            <w:tcW w:w="4678" w:type="dxa"/>
            <w:tcBorders/>
          </w:tcPr>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b/>
                <w:sz w:val="24"/>
                <w:szCs w:val="24"/>
                <w:lang w:eastAsia="en-US"/>
              </w:rPr>
              <w:t>Pasūtītājs</w:t>
            </w:r>
            <w:r>
              <w:rPr>
                <w:rFonts w:cs="Times New Roman" w:ascii="Times New Roman" w:hAnsi="Times New Roman"/>
                <w:sz w:val="24"/>
                <w:szCs w:val="24"/>
                <w:lang w:eastAsia="en-US"/>
              </w:rPr>
              <w:tab/>
              <w:tab/>
              <w:tab/>
              <w:tab/>
            </w:r>
          </w:p>
          <w:p>
            <w:pPr>
              <w:pStyle w:val="Normal"/>
              <w:widowControl w:val="false"/>
              <w:spacing w:before="120" w:after="0"/>
              <w:ind w:right="140" w:hanging="0"/>
              <w:rPr>
                <w:rFonts w:ascii="Times New Roman" w:hAnsi="Times New Roman" w:cs="Times New Roman"/>
                <w:b/>
                <w:b/>
                <w:bCs/>
                <w:sz w:val="24"/>
                <w:szCs w:val="24"/>
                <w:lang w:eastAsia="en-US"/>
              </w:rPr>
            </w:pPr>
            <w:r>
              <w:rPr>
                <w:rFonts w:cs="Times New Roman" w:ascii="Times New Roman" w:hAnsi="Times New Roman"/>
                <w:b/>
                <w:bCs/>
                <w:sz w:val="24"/>
                <w:szCs w:val="24"/>
                <w:lang w:eastAsia="en-US"/>
              </w:rPr>
              <w:t>Limbažu novada pašvaldība</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Nodokļu maksātāja reģ. Nr. 90009114631</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Juridiskā adrese: Rīgas iela 16, Limbaži Limbažu novads, LV – 4001</w:t>
            </w:r>
          </w:p>
          <w:p>
            <w:pPr>
              <w:pStyle w:val="Normal"/>
              <w:widowControl w:val="false"/>
              <w:tabs>
                <w:tab w:val="clear" w:pos="567"/>
                <w:tab w:val="left" w:pos="900" w:leader="none"/>
              </w:tabs>
              <w:ind w:left="7" w:right="140"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E-pasta adrese: pasts@limbazunovads.lv</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Bankas rekvizīti:</w:t>
            </w:r>
          </w:p>
          <w:p>
            <w:pPr>
              <w:pStyle w:val="Normal"/>
              <w:widowControl w:val="false"/>
              <w:tabs>
                <w:tab w:val="clear" w:pos="567"/>
                <w:tab w:val="left" w:pos="900" w:leader="none"/>
              </w:tabs>
              <w:ind w:left="7" w:right="105" w:hanging="7"/>
              <w:rPr>
                <w:rFonts w:ascii="Times New Roman" w:hAnsi="Times New Roman" w:cs="Times New Roman"/>
                <w:bCs/>
                <w:iCs/>
                <w:sz w:val="24"/>
                <w:szCs w:val="24"/>
                <w:lang w:eastAsia="en-US"/>
              </w:rPr>
            </w:pPr>
            <w:r>
              <w:rPr>
                <w:rFonts w:cs="Times New Roman" w:ascii="Times New Roman" w:hAnsi="Times New Roman"/>
                <w:bCs/>
                <w:iCs/>
                <w:sz w:val="24"/>
                <w:szCs w:val="24"/>
                <w:lang w:eastAsia="en-US"/>
              </w:rPr>
              <w:t xml:space="preserve">AS „SEB banka” </w:t>
            </w:r>
          </w:p>
          <w:p>
            <w:pPr>
              <w:pStyle w:val="Normal"/>
              <w:widowControl w:val="false"/>
              <w:rPr>
                <w:rFonts w:ascii="Times New Roman" w:hAnsi="Times New Roman" w:cs="Times New Roman"/>
                <w:sz w:val="24"/>
                <w:szCs w:val="24"/>
                <w:lang w:eastAsia="en-US"/>
              </w:rPr>
            </w:pPr>
            <w:r>
              <w:rPr>
                <w:rFonts w:cs="Times New Roman" w:ascii="Times New Roman" w:hAnsi="Times New Roman"/>
                <w:bCs/>
                <w:iCs/>
                <w:sz w:val="24"/>
                <w:szCs w:val="24"/>
                <w:lang w:eastAsia="en-US"/>
              </w:rPr>
              <w:t xml:space="preserve">Konta Nr. </w:t>
            </w:r>
            <w:r>
              <w:rPr>
                <w:rFonts w:cs="Times New Roman" w:ascii="Times New Roman" w:hAnsi="Times New Roman"/>
                <w:sz w:val="24"/>
                <w:szCs w:val="24"/>
                <w:lang w:eastAsia="en-US"/>
              </w:rPr>
              <w:t>LV87UNLA0050002396446</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bCs/>
                <w:iCs/>
                <w:sz w:val="24"/>
                <w:szCs w:val="24"/>
                <w:lang w:eastAsia="en-US"/>
              </w:rPr>
              <w:t>Kods UNLALV2X</w:t>
            </w:r>
            <w:r>
              <w:rPr>
                <w:rFonts w:cs="Times New Roman" w:ascii="Times New Roman" w:hAnsi="Times New Roman"/>
                <w:sz w:val="24"/>
                <w:szCs w:val="24"/>
                <w:lang w:eastAsia="en-US"/>
              </w:rPr>
              <w:t xml:space="preserve"> </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 xml:space="preserve">__________________________________ </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 xml:space="preserve">                                                  </w:t>
            </w:r>
            <w:r>
              <w:rPr>
                <w:rFonts w:cs="Times New Roman" w:ascii="Times New Roman" w:hAnsi="Times New Roman"/>
                <w:sz w:val="24"/>
                <w:szCs w:val="24"/>
                <w:lang w:eastAsia="en-US"/>
              </w:rPr>
              <w:t>A. Ārgalis ___.__.2024.</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4861" w:type="dxa"/>
            <w:tcBorders/>
          </w:tcPr>
          <w:p>
            <w:pPr>
              <w:pStyle w:val="Normal"/>
              <w:widowControl w:val="false"/>
              <w:ind w:right="140" w:hanging="0"/>
              <w:rPr>
                <w:rFonts w:ascii="Times New Roman" w:hAnsi="Times New Roman" w:cs="Times New Roman"/>
                <w:b/>
                <w:b/>
                <w:bCs/>
                <w:sz w:val="24"/>
                <w:szCs w:val="24"/>
                <w:lang w:eastAsia="en-US"/>
              </w:rPr>
            </w:pPr>
            <w:r>
              <w:rPr>
                <w:rFonts w:cs="Times New Roman" w:ascii="Times New Roman" w:hAnsi="Times New Roman"/>
                <w:b/>
                <w:bCs/>
                <w:sz w:val="24"/>
                <w:szCs w:val="24"/>
                <w:lang w:eastAsia="en-US"/>
              </w:rPr>
              <w:t>Izpildītājs</w:t>
            </w:r>
          </w:p>
          <w:p>
            <w:pPr>
              <w:pStyle w:val="Normal"/>
              <w:widowControl w:val="false"/>
              <w:tabs>
                <w:tab w:val="clear" w:pos="567"/>
                <w:tab w:val="left" w:pos="900" w:leader="none"/>
              </w:tabs>
              <w:spacing w:before="120" w:after="0"/>
              <w:ind w:left="6" w:right="476" w:hanging="6"/>
              <w:rPr>
                <w:rFonts w:ascii="Times New Roman" w:hAnsi="Times New Roman" w:cs="Times New Roman"/>
                <w:b/>
                <w:b/>
                <w:sz w:val="24"/>
                <w:szCs w:val="24"/>
                <w:lang w:eastAsia="en-US"/>
              </w:rPr>
            </w:pPr>
            <w:r>
              <w:rPr>
                <w:rFonts w:cs="Times New Roman" w:ascii="Times New Roman" w:hAnsi="Times New Roman"/>
                <w:b/>
                <w:sz w:val="24"/>
                <w:szCs w:val="24"/>
                <w:lang w:eastAsia="en-US"/>
              </w:rPr>
              <w:t>_______________________________</w:t>
            </w:r>
          </w:p>
          <w:p>
            <w:pPr>
              <w:pStyle w:val="Normal"/>
              <w:widowControl w:val="false"/>
              <w:tabs>
                <w:tab w:val="clear" w:pos="567"/>
                <w:tab w:val="left" w:pos="900" w:leader="none"/>
              </w:tabs>
              <w:ind w:left="7" w:right="479" w:hanging="7"/>
              <w:rPr>
                <w:rFonts w:ascii="Times New Roman" w:hAnsi="Times New Roman" w:cs="Times New Roman"/>
                <w:sz w:val="24"/>
                <w:szCs w:val="24"/>
                <w:lang w:eastAsia="en-US"/>
              </w:rPr>
            </w:pPr>
            <w:r>
              <w:rPr>
                <w:rFonts w:cs="Times New Roman" w:ascii="Times New Roman" w:hAnsi="Times New Roman"/>
                <w:sz w:val="24"/>
                <w:szCs w:val="24"/>
                <w:lang w:eastAsia="en-US"/>
              </w:rPr>
              <w:t>Vienotais reģistrācijas Nr. __________</w:t>
            </w:r>
          </w:p>
          <w:p>
            <w:pPr>
              <w:pStyle w:val="Normal"/>
              <w:widowControl w:val="false"/>
              <w:tabs>
                <w:tab w:val="clear" w:pos="567"/>
                <w:tab w:val="left" w:pos="900" w:leader="none"/>
              </w:tabs>
              <w:ind w:left="7" w:right="479" w:hanging="7"/>
              <w:rPr>
                <w:rFonts w:ascii="Times New Roman" w:hAnsi="Times New Roman" w:cs="Times New Roman"/>
                <w:sz w:val="24"/>
                <w:szCs w:val="24"/>
                <w:lang w:eastAsia="en-US"/>
              </w:rPr>
            </w:pPr>
            <w:r>
              <w:rPr>
                <w:rFonts w:cs="Times New Roman" w:ascii="Times New Roman" w:hAnsi="Times New Roman"/>
                <w:sz w:val="24"/>
                <w:szCs w:val="24"/>
                <w:lang w:eastAsia="en-US"/>
              </w:rPr>
              <w:t>Juridiskā adrese: _________________</w:t>
            </w:r>
          </w:p>
          <w:p>
            <w:pPr>
              <w:pStyle w:val="Normal"/>
              <w:widowControl w:val="false"/>
              <w:tabs>
                <w:tab w:val="clear" w:pos="567"/>
                <w:tab w:val="left" w:pos="900" w:leader="none"/>
              </w:tabs>
              <w:ind w:left="7" w:right="479"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_______________________________</w:t>
            </w:r>
          </w:p>
          <w:p>
            <w:pPr>
              <w:pStyle w:val="Normal"/>
              <w:widowControl w:val="false"/>
              <w:ind w:right="479" w:hanging="0"/>
              <w:rPr>
                <w:rFonts w:ascii="Times New Roman" w:hAnsi="Times New Roman" w:cs="Times New Roman"/>
                <w:sz w:val="24"/>
                <w:szCs w:val="24"/>
                <w:lang w:eastAsia="en-US"/>
              </w:rPr>
            </w:pPr>
            <w:r>
              <w:rPr>
                <w:rFonts w:cs="Times New Roman" w:ascii="Times New Roman" w:hAnsi="Times New Roman"/>
                <w:sz w:val="24"/>
                <w:szCs w:val="24"/>
                <w:lang w:eastAsia="en-US"/>
              </w:rPr>
              <w:t>E-pasta adrese: __________________</w:t>
            </w:r>
          </w:p>
          <w:p>
            <w:pPr>
              <w:pStyle w:val="Normal"/>
              <w:widowControl w:val="false"/>
              <w:tabs>
                <w:tab w:val="clear" w:pos="567"/>
                <w:tab w:val="left" w:pos="900" w:leader="none"/>
              </w:tabs>
              <w:ind w:left="7" w:right="479"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 xml:space="preserve">Bankas rekvizīti: </w:t>
            </w:r>
          </w:p>
          <w:p>
            <w:pPr>
              <w:pStyle w:val="Normal"/>
              <w:widowControl w:val="false"/>
              <w:tabs>
                <w:tab w:val="clear" w:pos="567"/>
                <w:tab w:val="left" w:pos="900" w:leader="none"/>
              </w:tabs>
              <w:ind w:left="7" w:right="479"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_______________________________</w:t>
            </w:r>
          </w:p>
          <w:p>
            <w:pPr>
              <w:pStyle w:val="Normal"/>
              <w:widowControl w:val="false"/>
              <w:tabs>
                <w:tab w:val="clear" w:pos="567"/>
                <w:tab w:val="left" w:pos="900" w:leader="none"/>
              </w:tabs>
              <w:ind w:left="7" w:right="479"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Konta Nr. _______________________</w:t>
            </w:r>
          </w:p>
          <w:p>
            <w:pPr>
              <w:pStyle w:val="Normal"/>
              <w:widowControl w:val="false"/>
              <w:ind w:right="479" w:hanging="7"/>
              <w:jc w:val="both"/>
              <w:rPr>
                <w:rFonts w:ascii="Times New Roman" w:hAnsi="Times New Roman" w:cs="Times New Roman"/>
                <w:sz w:val="24"/>
                <w:szCs w:val="24"/>
                <w:lang w:eastAsia="en-US"/>
              </w:rPr>
            </w:pPr>
            <w:r>
              <w:rPr>
                <w:rFonts w:cs="Times New Roman" w:ascii="Times New Roman" w:hAnsi="Times New Roman"/>
                <w:sz w:val="24"/>
                <w:szCs w:val="24"/>
                <w:lang w:eastAsia="en-US"/>
              </w:rPr>
              <w:t>Kods _____________</w:t>
            </w:r>
          </w:p>
          <w:p>
            <w:pPr>
              <w:pStyle w:val="Normal"/>
              <w:widowControl w:val="false"/>
              <w:ind w:right="479" w:hanging="0"/>
              <w:jc w:val="both"/>
              <w:rPr>
                <w:rFonts w:ascii="Times New Roman" w:hAnsi="Times New Roman" w:cs="Times New Roman"/>
                <w:sz w:val="24"/>
                <w:szCs w:val="24"/>
                <w:lang w:eastAsia="en-US"/>
              </w:rPr>
            </w:pPr>
            <w:r>
              <w:rPr>
                <w:rFonts w:cs="Times New Roman" w:ascii="Times New Roman" w:hAnsi="Times New Roman"/>
                <w:sz w:val="24"/>
                <w:szCs w:val="24"/>
                <w:lang w:eastAsia="en-US"/>
              </w:rPr>
            </w:r>
          </w:p>
          <w:p>
            <w:pPr>
              <w:pStyle w:val="Normal"/>
              <w:widowControl w:val="false"/>
              <w:ind w:right="479" w:hanging="0"/>
              <w:jc w:val="both"/>
              <w:rPr>
                <w:rFonts w:ascii="Times New Roman" w:hAnsi="Times New Roman" w:cs="Times New Roman"/>
                <w:sz w:val="24"/>
                <w:szCs w:val="24"/>
                <w:lang w:eastAsia="en-US"/>
              </w:rPr>
            </w:pPr>
            <w:r>
              <w:rPr>
                <w:rFonts w:cs="Times New Roman" w:ascii="Times New Roman" w:hAnsi="Times New Roman"/>
                <w:sz w:val="24"/>
                <w:szCs w:val="24"/>
                <w:lang w:eastAsia="en-US"/>
              </w:rPr>
              <w:t xml:space="preserve">________________________________  </w:t>
            </w:r>
          </w:p>
          <w:p>
            <w:pPr>
              <w:pStyle w:val="Normal"/>
              <w:widowControl w:val="false"/>
              <w:tabs>
                <w:tab w:val="clear" w:pos="567"/>
                <w:tab w:val="left" w:pos="900" w:leader="none"/>
                <w:tab w:val="left" w:pos="1080" w:leader="none"/>
              </w:tabs>
              <w:ind w:right="479" w:firstLine="357"/>
              <w:jc w:val="both"/>
              <w:rPr>
                <w:rFonts w:ascii="Times New Roman" w:hAnsi="Times New Roman" w:cs="Times New Roman"/>
                <w:sz w:val="24"/>
                <w:szCs w:val="24"/>
                <w:lang w:eastAsia="en-US"/>
              </w:rPr>
            </w:pPr>
            <w:r>
              <w:rPr>
                <w:rFonts w:cs="Times New Roman" w:ascii="Times New Roman" w:hAnsi="Times New Roman"/>
                <w:sz w:val="24"/>
                <w:szCs w:val="24"/>
                <w:lang w:eastAsia="en-US"/>
              </w:rPr>
              <w:t xml:space="preserve">                               </w:t>
            </w:r>
            <w:r>
              <w:rPr>
                <w:rFonts w:cs="Times New Roman" w:ascii="Times New Roman" w:hAnsi="Times New Roman"/>
                <w:sz w:val="24"/>
                <w:szCs w:val="24"/>
                <w:lang w:eastAsia="en-US"/>
              </w:rPr>
              <w:t>____________</w:t>
            </w:r>
          </w:p>
          <w:p>
            <w:pPr>
              <w:pStyle w:val="Normal"/>
              <w:widowControl w:val="false"/>
              <w:tabs>
                <w:tab w:val="clear" w:pos="567"/>
                <w:tab w:val="left" w:pos="0" w:leader="none"/>
              </w:tabs>
              <w:ind w:right="479" w:hanging="0"/>
              <w:rPr>
                <w:rFonts w:ascii="Times New Roman" w:hAnsi="Times New Roman" w:cs="Times New Roman"/>
                <w:sz w:val="24"/>
                <w:szCs w:val="24"/>
                <w:lang w:eastAsia="en-US"/>
              </w:rPr>
            </w:pPr>
            <w:r>
              <w:rPr>
                <w:rFonts w:cs="Times New Roman" w:ascii="Times New Roman" w:hAnsi="Times New Roman"/>
                <w:sz w:val="24"/>
                <w:szCs w:val="24"/>
                <w:lang w:eastAsia="en-US"/>
              </w:rPr>
              <w:t>___.___.2024.</w:t>
            </w:r>
          </w:p>
          <w:p>
            <w:pPr>
              <w:pStyle w:val="Normal"/>
              <w:widowControl w:val="false"/>
              <w:ind w:right="140" w:hanging="0"/>
              <w:rPr>
                <w:rFonts w:ascii="Times New Roman" w:hAnsi="Times New Roman" w:cs="Times New Roman"/>
                <w:sz w:val="24"/>
                <w:szCs w:val="24"/>
                <w:lang w:eastAsia="en-US"/>
              </w:rPr>
            </w:pPr>
            <w:r>
              <w:rPr>
                <w:rFonts w:cs="Times New Roman" w:ascii="Times New Roman" w:hAnsi="Times New Roman"/>
                <w:sz w:val="24"/>
                <w:szCs w:val="24"/>
                <w:lang w:eastAsia="en-US"/>
              </w:rPr>
              <w:t xml:space="preserve">                </w:t>
            </w:r>
          </w:p>
        </w:tc>
      </w:tr>
    </w:tbl>
    <w:p>
      <w:pPr>
        <w:pStyle w:val="Normal"/>
        <w:shd w:val="clear" w:color="auto" w:fill="FFFFFF"/>
        <w:ind w:right="140" w:hanging="0"/>
        <w:rPr>
          <w:rFonts w:ascii="Times New Roman" w:hAnsi="Times New Roman" w:cs="Times New Roman"/>
          <w:b/>
          <w:b/>
          <w:color w:val="000000"/>
          <w:spacing w:val="-1"/>
          <w:sz w:val="24"/>
          <w:szCs w:val="24"/>
        </w:rPr>
      </w:pPr>
      <w:r>
        <w:rPr>
          <w:rFonts w:cs="Times New Roman" w:ascii="Times New Roman" w:hAnsi="Times New Roman"/>
          <w:b/>
          <w:color w:val="000000"/>
          <w:spacing w:val="-1"/>
          <w:sz w:val="24"/>
          <w:szCs w:val="24"/>
        </w:rPr>
      </w:r>
    </w:p>
    <w:p>
      <w:pPr>
        <w:pStyle w:val="Normal"/>
        <w:shd w:val="clear" w:color="auto" w:fill="FFFFFF"/>
        <w:ind w:right="140" w:hanging="0"/>
        <w:jc w:val="center"/>
        <w:rPr>
          <w:rFonts w:ascii="Times New Roman" w:hAnsi="Times New Roman" w:cs="Times New Roman"/>
          <w:b/>
          <w:b/>
          <w:color w:val="000000"/>
          <w:spacing w:val="-1"/>
          <w:sz w:val="24"/>
          <w:szCs w:val="24"/>
        </w:rPr>
      </w:pPr>
      <w:r>
        <w:rPr>
          <w:rFonts w:cs="Times New Roman" w:ascii="Times New Roman" w:hAnsi="Times New Roman"/>
          <w:b/>
          <w:color w:val="000000"/>
          <w:spacing w:val="-1"/>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left="7" w:right="140" w:hanging="0"/>
        <w:jc w:val="right"/>
        <w:rPr>
          <w:rFonts w:ascii="Times New Roman" w:hAnsi="Times New Roman" w:cs="Times New Roman"/>
          <w:sz w:val="24"/>
          <w:szCs w:val="24"/>
        </w:rPr>
      </w:pPr>
      <w:r>
        <w:rPr>
          <w:rFonts w:cs="Times New Roman" w:ascii="Times New Roman" w:hAnsi="Times New Roman"/>
          <w:sz w:val="24"/>
          <w:szCs w:val="24"/>
        </w:rPr>
      </w:r>
    </w:p>
    <w:p>
      <w:pPr>
        <w:pStyle w:val="Normal"/>
        <w:jc w:val="right"/>
        <w:rPr>
          <w:rFonts w:ascii="Times New Roman" w:hAnsi="Times New Roman"/>
          <w:b/>
          <w:b/>
          <w:sz w:val="24"/>
          <w:szCs w:val="24"/>
        </w:rPr>
      </w:pPr>
      <w:bookmarkStart w:id="25" w:name="_GoBack1"/>
      <w:r>
        <w:rPr>
          <w:rFonts w:ascii="Times New Roman" w:hAnsi="Times New Roman"/>
          <w:b/>
          <w:sz w:val="24"/>
          <w:szCs w:val="24"/>
        </w:rPr>
        <w:t>4. pielikums</w:t>
      </w:r>
    </w:p>
    <w:p>
      <w:pPr>
        <w:pStyle w:val="Normal"/>
        <w:jc w:val="right"/>
        <w:rPr>
          <w:rFonts w:ascii="Times New Roman" w:hAnsi="Times New Roman" w:cs="Times New Roman"/>
          <w:sz w:val="24"/>
          <w:szCs w:val="24"/>
        </w:rPr>
      </w:pPr>
      <w:r>
        <w:rPr>
          <w:rFonts w:cs="Times New Roman" w:ascii="Times New Roman" w:hAnsi="Times New Roman"/>
          <w:sz w:val="24"/>
          <w:szCs w:val="24"/>
        </w:rPr>
        <w:t xml:space="preserve">iepirkuma „Nekustamā īpašuma tirgus vērtības, tirgus nomas maksas noteikšana un rakstveida atzinuma izgatavošanas pakalpojumi”,  </w:t>
      </w:r>
    </w:p>
    <w:p>
      <w:pPr>
        <w:pStyle w:val="Normal"/>
        <w:jc w:val="right"/>
        <w:rPr>
          <w:rFonts w:ascii="Times New Roman" w:hAnsi="Times New Roman" w:cs="Times New Roman"/>
          <w:sz w:val="24"/>
          <w:szCs w:val="24"/>
        </w:rPr>
      </w:pPr>
      <w:r>
        <w:rPr>
          <w:rFonts w:cs="Times New Roman" w:ascii="Times New Roman" w:hAnsi="Times New Roman"/>
          <w:sz w:val="24"/>
          <w:szCs w:val="24"/>
        </w:rPr>
        <w:t>iepirkuma identifikācijas Nr. LNP 2024/11, nolikumam</w:t>
      </w:r>
      <w:r>
        <w:rPr>
          <w:b/>
          <w:bCs/>
          <w:color w:val="000000" w:themeColor="text1"/>
          <w:sz w:val="24"/>
          <w:szCs w:val="24"/>
        </w:rPr>
        <w:t xml:space="preserve"> </w:t>
      </w:r>
    </w:p>
    <w:p>
      <w:pPr>
        <w:pStyle w:val="BodyTextIndent2"/>
        <w:spacing w:before="120" w:after="120"/>
        <w:ind w:left="720" w:hanging="0"/>
        <w:contextualSpacing/>
        <w:jc w:val="center"/>
        <w:rPr>
          <w:b/>
          <w:b/>
          <w:bCs/>
          <w:sz w:val="16"/>
          <w:szCs w:val="16"/>
        </w:rPr>
      </w:pPr>
      <w:r>
        <w:rPr>
          <w:b/>
          <w:bCs/>
          <w:sz w:val="16"/>
          <w:szCs w:val="16"/>
        </w:rPr>
      </w:r>
    </w:p>
    <w:p>
      <w:pPr>
        <w:pStyle w:val="BodyTextIndent2"/>
        <w:spacing w:before="120" w:after="120"/>
        <w:ind w:left="720" w:hanging="0"/>
        <w:contextualSpacing/>
        <w:jc w:val="center"/>
        <w:rPr>
          <w:b/>
          <w:b/>
          <w:bCs/>
          <w:sz w:val="24"/>
          <w:szCs w:val="24"/>
        </w:rPr>
      </w:pPr>
      <w:r>
        <w:rPr>
          <w:b/>
          <w:bCs/>
          <w:sz w:val="24"/>
          <w:szCs w:val="24"/>
        </w:rPr>
        <w:t>FINANŠU PIEDĀVĀJUMS</w:t>
      </w:r>
    </w:p>
    <w:p>
      <w:pPr>
        <w:pStyle w:val="BodyTextIndent2"/>
        <w:spacing w:before="120" w:after="120"/>
        <w:ind w:left="720" w:hanging="0"/>
        <w:contextualSpacing/>
        <w:rPr>
          <w:b/>
          <w:b/>
          <w:bCs/>
          <w:sz w:val="16"/>
          <w:szCs w:val="16"/>
        </w:rPr>
      </w:pPr>
      <w:r>
        <w:rPr>
          <w:b/>
          <w:bCs/>
          <w:sz w:val="16"/>
          <w:szCs w:val="16"/>
        </w:rPr>
      </w:r>
    </w:p>
    <w:p>
      <w:pPr>
        <w:pStyle w:val="BodyTextIndent2"/>
        <w:ind w:left="142" w:firstLine="425"/>
        <w:jc w:val="both"/>
        <w:rPr>
          <w:sz w:val="24"/>
          <w:szCs w:val="24"/>
        </w:rPr>
      </w:pPr>
      <w:r>
        <w:rPr>
          <w:sz w:val="24"/>
          <w:szCs w:val="24"/>
        </w:rPr>
        <w:t xml:space="preserve">Piedāvājam izpildīt iepirkuma līgumu atbilstoši iepirkuma „Nekustamā īpašuma tirgus vērtības, tirgus nomas maksas noteikšana un rakstveida atzinuma izgatavošanas pakalpojumi”, iepirkuma identifikācijas Nr. LNP 2024/11, dokumentos minētajām prasībām un saskaņā ar tehniskajā specifikācijā minēto par zemāk norādīto cenu: </w:t>
      </w:r>
    </w:p>
    <w:tbl>
      <w:tblPr>
        <w:tblW w:w="9610" w:type="dxa"/>
        <w:jc w:val="left"/>
        <w:tblInd w:w="279" w:type="dxa"/>
        <w:tblLayout w:type="fixed"/>
        <w:tblCellMar>
          <w:top w:w="0" w:type="dxa"/>
          <w:left w:w="108" w:type="dxa"/>
          <w:bottom w:w="0" w:type="dxa"/>
          <w:right w:w="108" w:type="dxa"/>
        </w:tblCellMar>
        <w:tblLook w:firstRow="1" w:noVBand="1" w:lastRow="0" w:firstColumn="1" w:lastColumn="0" w:noHBand="0" w:val="04a0"/>
      </w:tblPr>
      <w:tblGrid>
        <w:gridCol w:w="967"/>
        <w:gridCol w:w="5665"/>
        <w:gridCol w:w="1277"/>
        <w:gridCol w:w="1700"/>
      </w:tblGrid>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Nr. p.k.</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Novērtējuma objekts</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
                <w:b/>
                <w:spacing w:val="-6"/>
                <w:sz w:val="24"/>
                <w:szCs w:val="24"/>
              </w:rPr>
            </w:pPr>
            <w:r>
              <w:rPr>
                <w:rFonts w:cs="Times New Roman" w:ascii="Times New Roman" w:hAnsi="Times New Roman"/>
                <w:b/>
                <w:spacing w:val="-6"/>
                <w:sz w:val="24"/>
                <w:szCs w:val="24"/>
              </w:rPr>
              <w:t>Mērvienība</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
                <w:sz w:val="24"/>
                <w:szCs w:val="24"/>
              </w:rPr>
            </w:pPr>
            <w:r>
              <w:rPr>
                <w:rFonts w:cs="Times New Roman" w:ascii="Times New Roman" w:hAnsi="Times New Roman"/>
                <w:b/>
                <w:bCs/>
                <w:color w:val="000000"/>
                <w:sz w:val="24"/>
                <w:szCs w:val="24"/>
              </w:rPr>
              <w:t>Vien</w:t>
            </w:r>
            <w:r>
              <w:rPr>
                <w:rFonts w:cs="Times New Roman"/>
                <w:b/>
                <w:bCs/>
                <w:color w:val="000000"/>
              </w:rPr>
              <w:t>ības cena,</w:t>
            </w:r>
          </w:p>
          <w:p>
            <w:pPr>
              <w:pStyle w:val="Normal"/>
              <w:widowControl w:val="false"/>
              <w:jc w:val="center"/>
              <w:rPr>
                <w:rFonts w:ascii="Times New Roman" w:hAnsi="Times New Roman" w:cs="Times New Roman"/>
                <w:b/>
                <w:b/>
                <w:sz w:val="24"/>
                <w:szCs w:val="24"/>
              </w:rPr>
            </w:pPr>
            <w:r>
              <w:rPr>
                <w:rFonts w:cs="Times New Roman"/>
                <w:b/>
                <w:bCs/>
                <w:color w:val="000000"/>
              </w:rPr>
              <w:t>EUR bez PVN</w:t>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w:t>
            </w:r>
          </w:p>
        </w:tc>
        <w:tc>
          <w:tcPr>
            <w:tcW w:w="864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sz w:val="24"/>
                <w:szCs w:val="24"/>
              </w:rPr>
            </w:pPr>
            <w:r>
              <w:rPr>
                <w:rFonts w:cs="Times New Roman" w:ascii="Times New Roman" w:hAnsi="Times New Roman"/>
                <w:b/>
                <w:sz w:val="24"/>
                <w:szCs w:val="24"/>
              </w:rPr>
              <w:t>Nekustamā īpašuma tirgus vērtības noteikšana</w:t>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1.1.</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dzīvojamās ēkas (būves) un palīgēkām</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1.2.</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nedzīvojamās ēkas (ēkām)</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rHeight w:val="519" w:hRule="atLeast"/>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1.3.</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1.4.</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zemes vienības (vienībām) un mežaudzes</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1.5.</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dzīvojamās ēkas (būves), palīgēkām</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1.6.</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Ēku/būvju nekustamais īpašums, kas sastāv no nedzīvojamās ēkas (ēkām)</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rHeight w:val="582" w:hRule="atLeast"/>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1.7.</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sz w:val="24"/>
                <w:szCs w:val="24"/>
              </w:rPr>
            </w:pPr>
            <w:r>
              <w:rPr>
                <w:rFonts w:cs="Times New Roman" w:ascii="Times New Roman" w:hAnsi="Times New Roman"/>
                <w:sz w:val="24"/>
                <w:szCs w:val="24"/>
              </w:rPr>
              <w:t>Nekustamais īpašums, kas sastāv no dzīvojamās telpu grupas (dzīvoklis) vai nedzīvojamās telpu grupas (piemēram, garāža)</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rHeight w:val="373" w:hRule="atLeast"/>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1.8.</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Cs/>
                <w:color w:val="000000" w:themeColor="text1"/>
                <w:sz w:val="24"/>
                <w:szCs w:val="24"/>
              </w:rPr>
            </w:pPr>
            <w:r>
              <w:rPr>
                <w:rFonts w:cs="Times New Roman" w:ascii="Times New Roman" w:hAnsi="Times New Roman"/>
                <w:bCs/>
                <w:color w:val="000000" w:themeColor="text1"/>
                <w:sz w:val="24"/>
                <w:szCs w:val="24"/>
              </w:rPr>
              <w:t>Inženierbūves – ceļa, laukumu, inženiertīklu u.c. vērtības novērtēšana</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w:t>
            </w:r>
          </w:p>
        </w:tc>
        <w:tc>
          <w:tcPr>
            <w:tcW w:w="864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Nekustamā īpašuma nomas un apbūves tiesību maksas tirgus vērtības noteikšana</w:t>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2.1.</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Neapbūvētas zemes vienības nomas maksas tirgus vērtības noteikšana izziņas veidā, bez apsekošanas dabā</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2.2.</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Ēku (būvju) nomas maksas tirgus vērtības noteikšana izziņas veidā</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2.3.</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līdz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2.4.</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Nedzīvojamo telpu un / vai palīgēku ar platību virs 50 m</w:t>
            </w:r>
            <w:r>
              <w:rPr>
                <w:rFonts w:cs="Times New Roman" w:ascii="Times New Roman" w:hAnsi="Times New Roman"/>
                <w:color w:val="000000" w:themeColor="text1"/>
                <w:sz w:val="24"/>
                <w:szCs w:val="24"/>
                <w:vertAlign w:val="superscript"/>
              </w:rPr>
              <w:t>2</w:t>
            </w:r>
            <w:r>
              <w:rPr>
                <w:rFonts w:cs="Times New Roman" w:ascii="Times New Roman" w:hAnsi="Times New Roman"/>
                <w:color w:val="000000" w:themeColor="text1"/>
                <w:sz w:val="24"/>
                <w:szCs w:val="24"/>
              </w:rPr>
              <w:t xml:space="preserve"> nomas maksas tirgus vērtības noteikšana izziņas veidā</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3.</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Nekustamā īpašuma vērtējums ieguldīšanai kapitālsabiedrības pamatkapitālā vai biznesa vērtējums</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9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b/>
                <w:b/>
                <w:sz w:val="24"/>
                <w:szCs w:val="24"/>
              </w:rPr>
            </w:pPr>
            <w:r>
              <w:rPr>
                <w:rFonts w:cs="Times New Roman" w:ascii="Times New Roman" w:hAnsi="Times New Roman"/>
                <w:b/>
                <w:sz w:val="24"/>
                <w:szCs w:val="24"/>
              </w:rPr>
              <w:t>4.</w:t>
            </w:r>
          </w:p>
        </w:tc>
        <w:tc>
          <w:tcPr>
            <w:tcW w:w="56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Apbūves tiesību maksas vērtējuma noteikšana izziņas veidā</w:t>
            </w:r>
          </w:p>
        </w:tc>
        <w:tc>
          <w:tcPr>
            <w:tcW w:w="12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Objekts</w:t>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6632" w:type="dxa"/>
            <w:gridSpan w:val="2"/>
            <w:tcBorders>
              <w:left w:val="single" w:sz="4" w:space="0" w:color="000000"/>
              <w:bottom w:val="single" w:sz="4" w:space="0" w:color="000000"/>
              <w:right w:val="single" w:sz="4" w:space="0" w:color="000000"/>
            </w:tcBorders>
            <w:shd w:color="auto" w:fill="auto" w:val="clear"/>
          </w:tcPr>
          <w:p>
            <w:pPr>
              <w:pStyle w:val="Normal"/>
              <w:widowControl w:val="false"/>
              <w:jc w:val="right"/>
              <w:rPr>
                <w:rFonts w:ascii="Times New Roman" w:hAnsi="Times New Roman" w:cs="Times New Roman"/>
                <w:b/>
                <w:b/>
                <w:sz w:val="24"/>
                <w:szCs w:val="24"/>
              </w:rPr>
            </w:pPr>
            <w:r>
              <w:rPr>
                <w:rFonts w:cs="Times New Roman" w:ascii="Times New Roman" w:hAnsi="Times New Roman"/>
                <w:b/>
                <w:sz w:val="24"/>
                <w:szCs w:val="24"/>
              </w:rPr>
              <w:t xml:space="preserve">Kopā: </w:t>
            </w:r>
          </w:p>
        </w:tc>
        <w:tc>
          <w:tcPr>
            <w:tcW w:w="1277"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c>
          <w:tcPr>
            <w:tcW w:w="1700" w:type="dxa"/>
            <w:tcBorders>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66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right"/>
              <w:rPr>
                <w:rFonts w:ascii="Times New Roman" w:hAnsi="Times New Roman"/>
                <w:b/>
                <w:b/>
                <w:bCs/>
                <w:sz w:val="24"/>
                <w:szCs w:val="24"/>
              </w:rPr>
            </w:pPr>
            <w:r>
              <w:rPr>
                <w:rFonts w:ascii="Times New Roman" w:hAnsi="Times New Roman"/>
                <w:b/>
                <w:bCs/>
                <w:color w:val="000000" w:themeColor="text1"/>
                <w:sz w:val="24"/>
                <w:szCs w:val="24"/>
              </w:rPr>
              <w:t xml:space="preserve"> </w:t>
            </w:r>
            <w:r>
              <w:rPr>
                <w:rFonts w:ascii="Times New Roman" w:hAnsi="Times New Roman"/>
                <w:b/>
                <w:bCs/>
                <w:color w:val="000000" w:themeColor="text1"/>
                <w:sz w:val="24"/>
                <w:szCs w:val="24"/>
              </w:rPr>
              <w:t>Kopā, EUR bez PVN:</w:t>
            </w:r>
          </w:p>
        </w:tc>
        <w:tc>
          <w:tcPr>
            <w:tcW w:w="1277"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c>
          <w:tcPr>
            <w:tcW w:w="1700" w:type="dxa"/>
            <w:tcBorders>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66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right"/>
              <w:rPr>
                <w:rFonts w:ascii="Times New Roman" w:hAnsi="Times New Roman"/>
                <w:b/>
                <w:b/>
                <w:bCs/>
                <w:sz w:val="24"/>
                <w:szCs w:val="24"/>
              </w:rPr>
            </w:pPr>
            <w:r>
              <w:rPr>
                <w:rFonts w:ascii="Times New Roman" w:hAnsi="Times New Roman"/>
                <w:b/>
                <w:bCs/>
                <w:sz w:val="24"/>
                <w:szCs w:val="24"/>
              </w:rPr>
              <w:t>PVN:</w:t>
            </w:r>
          </w:p>
        </w:tc>
        <w:tc>
          <w:tcPr>
            <w:tcW w:w="1277"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c>
          <w:tcPr>
            <w:tcW w:w="1700" w:type="dxa"/>
            <w:tcBorders>
              <w:left w:val="single" w:sz="4" w:space="0" w:color="000000"/>
              <w:bottom w:val="single" w:sz="4" w:space="0" w:color="000000"/>
              <w:right w:val="single" w:sz="4" w:space="0" w:color="000000"/>
            </w:tcBorders>
          </w:tcPr>
          <w:p>
            <w:pPr>
              <w:pStyle w:val="Normal"/>
              <w:widowControl w:val="false"/>
              <w:spacing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r>
          </w:p>
        </w:tc>
      </w:tr>
      <w:tr>
        <w:trPr/>
        <w:tc>
          <w:tcPr>
            <w:tcW w:w="66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b/>
                <w:b/>
                <w:bCs/>
                <w:sz w:val="24"/>
                <w:szCs w:val="24"/>
              </w:rPr>
            </w:pPr>
            <w:r>
              <w:rPr>
                <w:rFonts w:cs="Times New Roman" w:ascii="Times New Roman" w:hAnsi="Times New Roman"/>
                <w:b/>
                <w:bCs/>
                <w:sz w:val="24"/>
                <w:szCs w:val="24"/>
              </w:rPr>
              <w:t xml:space="preserve">                                                           </w:t>
            </w:r>
            <w:r>
              <w:rPr>
                <w:rFonts w:cs="Times New Roman" w:ascii="Times New Roman" w:hAnsi="Times New Roman"/>
                <w:b/>
                <w:bCs/>
                <w:sz w:val="24"/>
                <w:szCs w:val="24"/>
              </w:rPr>
              <w:t>Kopsumma, EUR ar PVN:</w:t>
            </w:r>
          </w:p>
        </w:tc>
        <w:tc>
          <w:tcPr>
            <w:tcW w:w="1277" w:type="dxa"/>
            <w:tcBorders>
              <w:left w:val="single" w:sz="4" w:space="0" w:color="000000"/>
              <w:bottom w:val="single" w:sz="4" w:space="0" w:color="000000"/>
              <w:right w:val="single" w:sz="4" w:space="0" w:color="000000"/>
            </w:tcBorders>
            <w:shd w:color="auto" w:fill="auto" w:val="clear"/>
          </w:tcPr>
          <w:p>
            <w:pPr>
              <w:pStyle w:val="Galvene"/>
              <w:widowControl w:val="false"/>
              <w:tabs>
                <w:tab w:val="clear" w:pos="4320"/>
                <w:tab w:val="clear" w:pos="8640"/>
              </w:tabs>
              <w:rPr>
                <w:rFonts w:ascii="Times New Roman" w:hAnsi="Times New Roman"/>
                <w:i/>
                <w:i/>
                <w:color w:val="FF0000"/>
                <w:sz w:val="24"/>
                <w:szCs w:val="24"/>
                <w:lang w:val="lv-LV"/>
              </w:rPr>
            </w:pPr>
            <w:r>
              <w:rPr>
                <w:rFonts w:ascii="Times New Roman" w:hAnsi="Times New Roman"/>
                <w:i/>
                <w:color w:val="FF0000"/>
                <w:sz w:val="24"/>
                <w:szCs w:val="24"/>
                <w:lang w:val="lv-LV"/>
              </w:rPr>
            </w:r>
          </w:p>
        </w:tc>
        <w:tc>
          <w:tcPr>
            <w:tcW w:w="1700" w:type="dxa"/>
            <w:tcBorders>
              <w:left w:val="single" w:sz="4" w:space="0" w:color="000000"/>
              <w:bottom w:val="single" w:sz="4" w:space="0" w:color="000000"/>
              <w:right w:val="single" w:sz="4" w:space="0" w:color="000000"/>
            </w:tcBorders>
          </w:tcPr>
          <w:p>
            <w:pPr>
              <w:pStyle w:val="Galvene"/>
              <w:widowControl w:val="false"/>
              <w:tabs>
                <w:tab w:val="clear" w:pos="4320"/>
                <w:tab w:val="clear" w:pos="8640"/>
              </w:tabs>
              <w:rPr>
                <w:rFonts w:ascii="Times New Roman" w:hAnsi="Times New Roman"/>
                <w:i/>
                <w:i/>
                <w:color w:val="FF0000"/>
                <w:sz w:val="24"/>
                <w:szCs w:val="24"/>
                <w:lang w:val="lv-LV"/>
              </w:rPr>
            </w:pPr>
            <w:r>
              <w:rPr>
                <w:rFonts w:ascii="Times New Roman" w:hAnsi="Times New Roman"/>
                <w:i/>
                <w:color w:val="FF0000"/>
                <w:sz w:val="24"/>
                <w:szCs w:val="24"/>
                <w:lang w:val="lv-LV"/>
              </w:rPr>
            </w:r>
          </w:p>
        </w:tc>
      </w:tr>
    </w:tbl>
    <w:p>
      <w:pPr>
        <w:pStyle w:val="Normal"/>
        <w:rPr>
          <w:sz w:val="24"/>
          <w:szCs w:val="24"/>
        </w:rPr>
      </w:pPr>
      <w:r>
        <w:rPr>
          <w:sz w:val="24"/>
          <w:szCs w:val="24"/>
        </w:rPr>
      </w:r>
    </w:p>
    <w:p>
      <w:pPr>
        <w:pStyle w:val="Galvene"/>
        <w:tabs>
          <w:tab w:val="clear" w:pos="4320"/>
          <w:tab w:val="clear" w:pos="8640"/>
        </w:tabs>
        <w:rPr>
          <w:rFonts w:ascii="Times New Roman" w:hAnsi="Times New Roman"/>
          <w:i/>
          <w:i/>
          <w:color w:val="FF0000"/>
          <w:sz w:val="24"/>
          <w:szCs w:val="24"/>
          <w:lang w:val="lv-LV"/>
        </w:rPr>
      </w:pPr>
      <w:r>
        <w:rPr>
          <w:rFonts w:ascii="Times New Roman" w:hAnsi="Times New Roman"/>
          <w:i/>
          <w:color w:val="FF0000"/>
          <w:sz w:val="24"/>
          <w:szCs w:val="24"/>
          <w:lang w:val="lv-LV"/>
        </w:rPr>
        <w:t>Pretendenta nosaukums</w:t>
      </w:r>
    </w:p>
    <w:p>
      <w:pPr>
        <w:sectPr>
          <w:headerReference w:type="default" r:id="rId17"/>
          <w:footerReference w:type="default" r:id="rId18"/>
          <w:type w:val="nextPage"/>
          <w:pgSz w:w="11906" w:h="16838"/>
          <w:pgMar w:left="1560" w:right="567" w:gutter="0" w:header="720" w:top="993" w:footer="720" w:bottom="777"/>
          <w:pgNumType w:fmt="decimal"/>
          <w:formProt w:val="false"/>
          <w:titlePg/>
          <w:textDirection w:val="lrTb"/>
          <w:docGrid w:type="default" w:linePitch="381" w:charSpace="20480"/>
        </w:sectPr>
        <w:pStyle w:val="Normal"/>
        <w:rPr>
          <w:rFonts w:ascii="Times New Roman" w:hAnsi="Times New Roman"/>
          <w:i/>
          <w:i/>
          <w:color w:val="FF0000"/>
          <w:sz w:val="24"/>
          <w:szCs w:val="24"/>
        </w:rPr>
      </w:pPr>
      <w:r>
        <w:rPr>
          <w:rFonts w:ascii="Times New Roman" w:hAnsi="Times New Roman"/>
          <w:i/>
          <w:color w:val="FF0000"/>
          <w:sz w:val="24"/>
          <w:szCs w:val="24"/>
        </w:rPr>
        <w:t>pārstāvja vai pilnvarotās personas amats, vārds, uzvārds</w:t>
        <w:tab/>
        <w:tab/>
        <w:tab/>
        <w:tab/>
        <w:tab/>
        <w:tab/>
      </w:r>
      <w:r>
        <w:rPr>
          <w:rFonts w:cs="Times New Roman" w:ascii="Times New Roman" w:hAnsi="Times New Roman"/>
          <w:i/>
          <w:color w:val="FF0000"/>
          <w:sz w:val="24"/>
          <w:szCs w:val="24"/>
        </w:rPr>
        <w:t>&lt;paraksts&gt;</w:t>
      </w:r>
      <w:r>
        <w:br w:type="page"/>
      </w:r>
    </w:p>
    <w:p>
      <w:pPr>
        <w:pStyle w:val="Normal"/>
        <w:jc w:val="right"/>
        <w:rPr>
          <w:rFonts w:ascii="Times New Roman" w:hAnsi="Times New Roman"/>
          <w:b/>
          <w:b/>
          <w:sz w:val="24"/>
          <w:szCs w:val="24"/>
        </w:rPr>
      </w:pPr>
      <w:r>
        <w:rPr>
          <w:rFonts w:ascii="Times New Roman" w:hAnsi="Times New Roman"/>
          <w:b/>
          <w:sz w:val="24"/>
          <w:szCs w:val="24"/>
        </w:rPr>
        <w:t>5. pielikums</w:t>
      </w:r>
    </w:p>
    <w:p>
      <w:pPr>
        <w:pStyle w:val="Normal"/>
        <w:jc w:val="right"/>
        <w:rPr>
          <w:rFonts w:ascii="Times New Roman" w:hAnsi="Times New Roman" w:cs="Times New Roman"/>
          <w:sz w:val="24"/>
          <w:szCs w:val="24"/>
        </w:rPr>
      </w:pPr>
      <w:r>
        <w:rPr>
          <w:rFonts w:cs="Times New Roman" w:ascii="Times New Roman" w:hAnsi="Times New Roman"/>
          <w:sz w:val="24"/>
          <w:szCs w:val="24"/>
        </w:rPr>
        <w:t xml:space="preserve">iepirkuma „Nekustamā īpašuma tirgus vērtības, tirgus nomas maksas noteikšana un rakstveida atzinuma izgatavošanas pakalpojumi”, </w:t>
      </w:r>
    </w:p>
    <w:p>
      <w:pPr>
        <w:pStyle w:val="Normal"/>
        <w:jc w:val="right"/>
        <w:rPr>
          <w:rFonts w:ascii="Times New Roman" w:hAnsi="Times New Roman" w:cs="Times New Roman"/>
          <w:sz w:val="24"/>
          <w:szCs w:val="24"/>
        </w:rPr>
      </w:pPr>
      <w:r>
        <w:rPr>
          <w:rFonts w:cs="Times New Roman" w:ascii="Times New Roman" w:hAnsi="Times New Roman"/>
          <w:sz w:val="24"/>
          <w:szCs w:val="24"/>
        </w:rPr>
        <w:t>iepirkuma identifikācijas Nr. LNP 2024/11, nolikumam</w:t>
      </w:r>
    </w:p>
    <w:p>
      <w:pPr>
        <w:pStyle w:val="Normal"/>
        <w:ind w:left="9360" w:hanging="9360"/>
        <w:jc w:val="right"/>
        <w:rPr>
          <w:rFonts w:ascii="Times New Roman" w:hAnsi="Times New Roman" w:cs="Times New Roman"/>
          <w:b/>
          <w:b/>
          <w:color w:val="000000" w:themeColor="text1"/>
          <w:sz w:val="24"/>
          <w:szCs w:val="24"/>
          <w:lang w:eastAsia="en-US"/>
        </w:rPr>
      </w:pPr>
      <w:r>
        <w:rPr>
          <w:rFonts w:cs="Times New Roman" w:ascii="Times New Roman" w:hAnsi="Times New Roman"/>
          <w:b/>
          <w:color w:val="000000" w:themeColor="text1"/>
          <w:sz w:val="24"/>
          <w:szCs w:val="24"/>
          <w:lang w:eastAsia="en-US"/>
        </w:rPr>
      </w:r>
    </w:p>
    <w:p>
      <w:pPr>
        <w:pStyle w:val="Normal"/>
        <w:ind w:right="-58" w:hanging="0"/>
        <w:jc w:val="center"/>
        <w:rPr>
          <w:rFonts w:ascii="Times New Roman" w:hAnsi="Times New Roman" w:cs="Times New Roman"/>
          <w:b/>
          <w:b/>
          <w:sz w:val="24"/>
          <w:szCs w:val="24"/>
        </w:rPr>
      </w:pPr>
      <w:r>
        <w:rPr>
          <w:rFonts w:cs="Times New Roman" w:ascii="Times New Roman" w:hAnsi="Times New Roman"/>
          <w:b/>
          <w:sz w:val="24"/>
          <w:szCs w:val="24"/>
        </w:rPr>
        <w:t>TEHNISKAIS PIEDĀVĀJUMS</w:t>
      </w:r>
    </w:p>
    <w:p>
      <w:pPr>
        <w:pStyle w:val="Normal"/>
        <w:ind w:right="-58" w:hanging="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jc w:val="both"/>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ind w:firstLine="567"/>
        <w:jc w:val="both"/>
        <w:rPr>
          <w:rFonts w:ascii="Times New Roman" w:hAnsi="Times New Roman" w:cs="Times New Roman"/>
          <w:bCs/>
          <w:sz w:val="24"/>
          <w:szCs w:val="24"/>
        </w:rPr>
      </w:pPr>
      <w:r>
        <w:rPr>
          <w:rFonts w:cs="Times New Roman" w:ascii="Times New Roman" w:hAnsi="Times New Roman"/>
          <w:bCs/>
          <w:sz w:val="24"/>
          <w:szCs w:val="24"/>
        </w:rPr>
        <w:t>Pretendents __________________________ (</w:t>
      </w:r>
      <w:r>
        <w:rPr>
          <w:rFonts w:cs="Times New Roman" w:ascii="Times New Roman" w:hAnsi="Times New Roman"/>
          <w:bCs/>
          <w:i/>
          <w:sz w:val="24"/>
          <w:szCs w:val="24"/>
        </w:rPr>
        <w:t>Pretendenta nosaukums</w:t>
      </w:r>
      <w:r>
        <w:rPr>
          <w:rFonts w:cs="Times New Roman" w:ascii="Times New Roman" w:hAnsi="Times New Roman"/>
          <w:bCs/>
          <w:sz w:val="24"/>
          <w:szCs w:val="24"/>
        </w:rPr>
        <w:t xml:space="preserve">) apņemas nodrošināt </w:t>
      </w:r>
      <w:r>
        <w:rPr>
          <w:rFonts w:cs="Times New Roman" w:ascii="Times New Roman" w:hAnsi="Times New Roman"/>
          <w:sz w:val="24"/>
          <w:szCs w:val="24"/>
          <w:u w:val="single"/>
        </w:rPr>
        <w:t>Nekustamo īpašumu tirgus vērtības, tirgus nomas maksas noteikšanu un rakstveida atzinuma izgatavošanas pakalpojumus</w:t>
      </w:r>
      <w:r>
        <w:rPr>
          <w:rFonts w:cs="Times New Roman" w:ascii="Times New Roman" w:hAnsi="Times New Roman"/>
          <w:bCs/>
          <w:sz w:val="24"/>
          <w:szCs w:val="24"/>
        </w:rPr>
        <w:t xml:space="preserve"> saskaņā ar iepirkuma nolikuma tehniskās specifikācijas noteikumiem.</w:t>
      </w:r>
    </w:p>
    <w:p>
      <w:pPr>
        <w:pStyle w:val="Galvene"/>
        <w:tabs>
          <w:tab w:val="clear" w:pos="4320"/>
          <w:tab w:val="clear" w:pos="8640"/>
        </w:tabs>
        <w:rPr>
          <w:rFonts w:ascii="Times New Roman" w:hAnsi="Times New Roman"/>
          <w:i/>
          <w:i/>
          <w:sz w:val="24"/>
          <w:szCs w:val="24"/>
          <w:lang w:val="lv-LV"/>
        </w:rPr>
      </w:pPr>
      <w:r>
        <w:rPr>
          <w:rFonts w:ascii="Times New Roman" w:hAnsi="Times New Roman"/>
          <w:i/>
          <w:sz w:val="24"/>
          <w:szCs w:val="24"/>
          <w:lang w:val="lv-LV"/>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t xml:space="preserve">Pretendenta nosaukums </w:t>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t>pārstāvja vai pilnvarotās personas amats, vārds, uzvārds</w:t>
        <w:tab/>
        <w:tab/>
        <w:tab/>
        <w:tab/>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jc w:val="right"/>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t>&lt;paraksts&gt;</w:t>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ind w:left="360" w:hanging="0"/>
        <w:contextualSpacing/>
        <w:jc w:val="right"/>
        <w:rPr>
          <w:rFonts w:ascii="Times New Roman" w:hAnsi="Times New Roman" w:cs="Times New Roman"/>
          <w:b/>
          <w:b/>
          <w:sz w:val="24"/>
          <w:szCs w:val="24"/>
        </w:rPr>
      </w:pPr>
      <w:r>
        <w:rPr>
          <w:rFonts w:cs="Times New Roman" w:ascii="Times New Roman" w:hAnsi="Times New Roman"/>
          <w:b/>
          <w:sz w:val="24"/>
          <w:szCs w:val="24"/>
        </w:rPr>
        <w:t>6. pielikums</w:t>
      </w:r>
    </w:p>
    <w:p>
      <w:pPr>
        <w:pStyle w:val="Normal"/>
        <w:jc w:val="right"/>
        <w:rPr>
          <w:rFonts w:ascii="Times New Roman" w:hAnsi="Times New Roman" w:cs="Times New Roman"/>
          <w:sz w:val="24"/>
          <w:szCs w:val="24"/>
        </w:rPr>
      </w:pPr>
      <w:r>
        <w:rPr>
          <w:rFonts w:cs="Times New Roman" w:ascii="Times New Roman" w:hAnsi="Times New Roman"/>
          <w:sz w:val="24"/>
          <w:szCs w:val="24"/>
          <w:lang w:eastAsia="en-US"/>
        </w:rPr>
        <w:t xml:space="preserve">iepirkuma </w:t>
      </w:r>
      <w:r>
        <w:rPr>
          <w:rFonts w:cs="Times New Roman" w:ascii="Times New Roman" w:hAnsi="Times New Roman"/>
          <w:color w:val="000000"/>
          <w:sz w:val="24"/>
          <w:szCs w:val="24"/>
          <w:lang w:eastAsia="ar-SA"/>
        </w:rPr>
        <w:t>„</w:t>
      </w:r>
      <w:r>
        <w:rPr>
          <w:rFonts w:cs="Times New Roman" w:ascii="Times New Roman" w:hAnsi="Times New Roman"/>
          <w:sz w:val="24"/>
          <w:szCs w:val="24"/>
        </w:rPr>
        <w:t xml:space="preserve">Nekustamā īpašuma tirgus vērtības, tirgus nomas maksas noteikšana un rakstveida atzinuma izgatavošanas pakalpojumi”, </w:t>
      </w:r>
    </w:p>
    <w:p>
      <w:pPr>
        <w:pStyle w:val="Normal"/>
        <w:jc w:val="right"/>
        <w:rPr>
          <w:rFonts w:ascii="Times New Roman" w:hAnsi="Times New Roman" w:cs="Times New Roman"/>
          <w:sz w:val="24"/>
          <w:szCs w:val="24"/>
          <w:lang w:eastAsia="en-US"/>
        </w:rPr>
      </w:pPr>
      <w:r>
        <w:rPr>
          <w:rFonts w:cs="Times New Roman" w:ascii="Times New Roman" w:hAnsi="Times New Roman"/>
          <w:sz w:val="24"/>
          <w:szCs w:val="24"/>
        </w:rPr>
        <w:t>iepirkuma identifikācijas Nr. LNP 2024/11</w:t>
      </w:r>
      <w:r>
        <w:rPr>
          <w:rFonts w:cs="Times New Roman" w:ascii="Times New Roman" w:hAnsi="Times New Roman"/>
          <w:color w:val="000000"/>
          <w:sz w:val="24"/>
          <w:szCs w:val="24"/>
          <w:lang w:eastAsia="en-US"/>
        </w:rPr>
        <w:t>,</w:t>
      </w:r>
      <w:r>
        <w:rPr>
          <w:rFonts w:cs="Times New Roman" w:ascii="Times New Roman" w:hAnsi="Times New Roman"/>
          <w:sz w:val="24"/>
          <w:szCs w:val="24"/>
          <w:lang w:eastAsia="en-US"/>
        </w:rPr>
        <w:t xml:space="preserve"> nolikumam</w:t>
      </w:r>
    </w:p>
    <w:p>
      <w:pPr>
        <w:pStyle w:val="Normal"/>
        <w:ind w:right="-58" w:hanging="0"/>
        <w:rPr>
          <w:rFonts w:ascii="Times New Roman" w:hAnsi="Times New Roman" w:cs="Times New Roman"/>
          <w:b/>
          <w:b/>
          <w:color w:val="000000"/>
          <w:sz w:val="24"/>
          <w:szCs w:val="24"/>
        </w:rPr>
      </w:pPr>
      <w:r>
        <w:rPr>
          <w:rFonts w:cs="Times New Roman" w:ascii="Times New Roman" w:hAnsi="Times New Roman"/>
          <w:b/>
          <w:color w:val="000000"/>
          <w:sz w:val="24"/>
          <w:szCs w:val="24"/>
        </w:rPr>
      </w:r>
    </w:p>
    <w:p>
      <w:pPr>
        <w:pStyle w:val="Normal"/>
        <w:ind w:right="-58" w:hanging="0"/>
        <w:rPr>
          <w:rFonts w:ascii="Times New Roman" w:hAnsi="Times New Roman" w:cs="Times New Roman"/>
          <w:b/>
          <w:b/>
          <w:sz w:val="24"/>
          <w:szCs w:val="24"/>
        </w:rPr>
      </w:pPr>
      <w:r>
        <w:rPr>
          <w:rFonts w:cs="Times New Roman" w:ascii="Times New Roman" w:hAnsi="Times New Roman"/>
          <w:b/>
          <w:sz w:val="24"/>
          <w:szCs w:val="24"/>
        </w:rPr>
      </w:r>
    </w:p>
    <w:p>
      <w:pPr>
        <w:pStyle w:val="Normal"/>
        <w:ind w:left="9360" w:hanging="9360"/>
        <w:jc w:val="center"/>
        <w:rPr>
          <w:rFonts w:ascii="Times New Roman" w:hAnsi="Times New Roman" w:cs="Times New Roman"/>
          <w:b/>
          <w:b/>
          <w:color w:val="000000" w:themeColor="text1"/>
          <w:sz w:val="24"/>
          <w:szCs w:val="24"/>
          <w:lang w:eastAsia="en-US"/>
        </w:rPr>
      </w:pPr>
      <w:r>
        <w:rPr>
          <w:rFonts w:cs="Times New Roman" w:ascii="Times New Roman" w:hAnsi="Times New Roman"/>
          <w:b/>
          <w:color w:val="000000" w:themeColor="text1"/>
          <w:sz w:val="24"/>
          <w:szCs w:val="24"/>
          <w:lang w:eastAsia="en-US"/>
        </w:rPr>
        <w:t>KVALIFIKĀCIJAS VEIDLAPA</w:t>
      </w:r>
    </w:p>
    <w:p>
      <w:pPr>
        <w:pStyle w:val="Normal"/>
        <w:ind w:left="9360" w:hanging="9360"/>
        <w:jc w:val="center"/>
        <w:rPr>
          <w:rFonts w:ascii="Times New Roman" w:hAnsi="Times New Roman" w:cs="Times New Roman"/>
          <w:b/>
          <w:b/>
          <w:color w:val="000000" w:themeColor="text1"/>
          <w:sz w:val="24"/>
          <w:szCs w:val="24"/>
          <w:lang w:eastAsia="en-US"/>
        </w:rPr>
      </w:pPr>
      <w:r>
        <w:rPr>
          <w:rFonts w:cs="Times New Roman" w:ascii="Times New Roman" w:hAnsi="Times New Roman"/>
          <w:b/>
          <w:color w:val="000000" w:themeColor="text1"/>
          <w:sz w:val="24"/>
          <w:szCs w:val="24"/>
          <w:lang w:eastAsia="en-US"/>
        </w:rPr>
      </w:r>
    </w:p>
    <w:tbl>
      <w:tblPr>
        <w:tblpPr w:bottomFromText="0" w:horzAnchor="margin" w:leftFromText="180" w:rightFromText="180" w:tblpX="0" w:tblpXSpec="center" w:tblpY="106" w:topFromText="0" w:vertAnchor="text"/>
        <w:tblW w:w="10260"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590"/>
        <w:gridCol w:w="2507"/>
        <w:gridCol w:w="1904"/>
        <w:gridCol w:w="1545"/>
        <w:gridCol w:w="1538"/>
        <w:gridCol w:w="2175"/>
      </w:tblGrid>
      <w:tr>
        <w:trPr>
          <w:trHeight w:val="439" w:hRule="atLeast"/>
        </w:trPr>
        <w:tc>
          <w:tcPr>
            <w:tcW w:w="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t>Nr. p.k.</w:t>
            </w:r>
          </w:p>
        </w:tc>
        <w:tc>
          <w:tcPr>
            <w:tcW w:w="250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center" w:pos="4680" w:leader="none"/>
                <w:tab w:val="right" w:pos="9360" w:leader="none"/>
              </w:tabs>
              <w:rPr>
                <w:rFonts w:ascii="Times New Roman" w:hAnsi="Times New Roman" w:cs="Times New Roman"/>
                <w:sz w:val="24"/>
                <w:szCs w:val="24"/>
                <w:lang w:eastAsia="x-none"/>
              </w:rPr>
            </w:pPr>
            <w:r>
              <w:rPr>
                <w:rFonts w:cs="Times New Roman" w:ascii="Times New Roman" w:hAnsi="Times New Roman"/>
                <w:sz w:val="24"/>
                <w:szCs w:val="24"/>
                <w:lang w:eastAsia="x-none"/>
              </w:rPr>
            </w:r>
          </w:p>
          <w:p>
            <w:pPr>
              <w:pStyle w:val="Normal"/>
              <w:keepNext w:val="true"/>
              <w:keepLines/>
              <w:widowControl w:val="false"/>
              <w:numPr>
                <w:ilvl w:val="0"/>
                <w:numId w:val="0"/>
              </w:numPr>
              <w:tabs>
                <w:tab w:val="clear" w:pos="567"/>
                <w:tab w:val="left" w:pos="892" w:leader="none"/>
              </w:tabs>
              <w:jc w:val="both"/>
              <w:outlineLvl w:val="2"/>
              <w:rPr>
                <w:rFonts w:ascii="Times New Roman" w:hAnsi="Times New Roman" w:eastAsia="Calibri" w:cs="Times New Roman"/>
                <w:sz w:val="24"/>
                <w:szCs w:val="24"/>
              </w:rPr>
            </w:pPr>
            <w:r>
              <w:rPr>
                <w:rFonts w:eastAsia="Calibri" w:cs="Times New Roman" w:ascii="Times New Roman" w:hAnsi="Times New Roman"/>
                <w:bCs/>
                <w:sz w:val="24"/>
                <w:szCs w:val="24"/>
              </w:rPr>
              <w:t xml:space="preserve">Pasūtītāja </w:t>
            </w:r>
            <w:r>
              <w:rPr>
                <w:rFonts w:eastAsia="Calibri" w:cs="Times New Roman" w:ascii="Times New Roman" w:hAnsi="Times New Roman"/>
                <w:sz w:val="24"/>
                <w:szCs w:val="24"/>
              </w:rPr>
              <w:t>nosaukums,</w:t>
            </w:r>
          </w:p>
          <w:p>
            <w:pPr>
              <w:pStyle w:val="Normal"/>
              <w:keepNext w:val="true"/>
              <w:keepLines/>
              <w:widowControl w:val="false"/>
              <w:numPr>
                <w:ilvl w:val="0"/>
                <w:numId w:val="0"/>
              </w:numPr>
              <w:tabs>
                <w:tab w:val="clear" w:pos="567"/>
                <w:tab w:val="left" w:pos="892" w:leader="none"/>
              </w:tabs>
              <w:jc w:val="both"/>
              <w:outlineLvl w:val="2"/>
              <w:rPr>
                <w:rFonts w:ascii="Times New Roman" w:hAnsi="Times New Roman" w:eastAsia="Calibri" w:cs="Times New Roman"/>
                <w:sz w:val="24"/>
                <w:szCs w:val="24"/>
              </w:rPr>
            </w:pPr>
            <w:r>
              <w:rPr>
                <w:rFonts w:eastAsia="Calibri" w:cs="Times New Roman" w:ascii="Times New Roman" w:hAnsi="Times New Roman"/>
                <w:sz w:val="24"/>
                <w:szCs w:val="24"/>
              </w:rPr>
              <w:t>reģistrācijas numurs, adrese, kontaktpersona, tālruņa</w:t>
            </w:r>
          </w:p>
          <w:p>
            <w:pPr>
              <w:pStyle w:val="Normal"/>
              <w:keepNext w:val="true"/>
              <w:keepLines/>
              <w:widowControl w:val="false"/>
              <w:numPr>
                <w:ilvl w:val="0"/>
                <w:numId w:val="0"/>
              </w:numPr>
              <w:tabs>
                <w:tab w:val="clear" w:pos="567"/>
                <w:tab w:val="left" w:pos="892" w:leader="none"/>
              </w:tabs>
              <w:jc w:val="both"/>
              <w:outlineLvl w:val="2"/>
              <w:rPr>
                <w:rFonts w:ascii="Times New Roman" w:hAnsi="Times New Roman" w:eastAsia="Calibri" w:cs="Times New Roman"/>
                <w:bCs/>
                <w:sz w:val="24"/>
                <w:szCs w:val="24"/>
              </w:rPr>
            </w:pPr>
            <w:r>
              <w:rPr>
                <w:rFonts w:eastAsia="Calibri" w:cs="Times New Roman" w:ascii="Times New Roman" w:hAnsi="Times New Roman"/>
                <w:sz w:val="24"/>
                <w:szCs w:val="24"/>
              </w:rPr>
              <w:t xml:space="preserve"> </w:t>
            </w:r>
            <w:r>
              <w:rPr>
                <w:rFonts w:eastAsia="Calibri" w:cs="Times New Roman" w:ascii="Times New Roman" w:hAnsi="Times New Roman"/>
                <w:sz w:val="24"/>
                <w:szCs w:val="24"/>
              </w:rPr>
              <w:t>numurs</w:t>
            </w:r>
          </w:p>
        </w:tc>
        <w:tc>
          <w:tcPr>
            <w:tcW w:w="19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t>Līguma – nosaukums, vērtēto objektu skaits, sniegto pakalpojumu aprakst kas raksturo Nolikuma 6.1.5. punktā prasīto pieredzi</w:t>
            </w:r>
          </w:p>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t xml:space="preserve"> </w:t>
            </w:r>
            <w:r>
              <w:rPr>
                <w:rFonts w:cs="Times New Roman" w:ascii="Times New Roman" w:hAnsi="Times New Roman"/>
                <w:sz w:val="24"/>
                <w:szCs w:val="24"/>
                <w:lang w:eastAsia="x-none"/>
              </w:rPr>
              <w:t>Līguma nosaukums, kura ietvaros ir veikta nekustamo īpašumu vērtēšana vismaz 10000 EUR bez PVN</w:t>
            </w:r>
          </w:p>
        </w:tc>
        <w:tc>
          <w:tcPr>
            <w:tcW w:w="1538" w:type="dxa"/>
            <w:tcBorders>
              <w:top w:val="single" w:sz="4" w:space="0" w:color="000000"/>
              <w:left w:val="single" w:sz="4" w:space="0" w:color="000000"/>
              <w:bottom w:val="single" w:sz="4" w:space="0" w:color="000000"/>
            </w:tcBorders>
            <w:vAlign w:val="center"/>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t>Līguma izmaksas (EUR bez PVN)</w:t>
            </w:r>
          </w:p>
        </w:tc>
        <w:tc>
          <w:tcPr>
            <w:tcW w:w="21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567"/>
                <w:tab w:val="left" w:pos="851" w:leader="none"/>
                <w:tab w:val="center" w:pos="4680" w:leader="none"/>
                <w:tab w:val="right" w:pos="9360" w:leader="none"/>
              </w:tabs>
              <w:jc w:val="center"/>
              <w:rPr>
                <w:rFonts w:ascii="Times New Roman" w:hAnsi="Times New Roman"/>
                <w:sz w:val="24"/>
                <w:szCs w:val="24"/>
              </w:rPr>
            </w:pPr>
            <w:r>
              <w:rPr>
                <w:rFonts w:ascii="Times New Roman" w:hAnsi="Times New Roman"/>
                <w:sz w:val="24"/>
                <w:szCs w:val="24"/>
              </w:rPr>
              <w:t>Līguma darbības laiks (datums no/līdz)</w:t>
            </w:r>
          </w:p>
        </w:tc>
      </w:tr>
      <w:tr>
        <w:trPr>
          <w:trHeight w:val="59" w:hRule="atLeast"/>
        </w:trPr>
        <w:tc>
          <w:tcPr>
            <w:tcW w:w="5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50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90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38" w:type="dxa"/>
            <w:tcBorders>
              <w:top w:val="single" w:sz="4" w:space="0" w:color="000000"/>
              <w:left w:val="single" w:sz="4" w:space="0" w:color="000000"/>
              <w:bottom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1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r>
      <w:tr>
        <w:trPr>
          <w:trHeight w:val="59" w:hRule="atLeast"/>
        </w:trPr>
        <w:tc>
          <w:tcPr>
            <w:tcW w:w="5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50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90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38" w:type="dxa"/>
            <w:tcBorders>
              <w:top w:val="single" w:sz="4" w:space="0" w:color="000000"/>
              <w:left w:val="single" w:sz="4" w:space="0" w:color="000000"/>
              <w:bottom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1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r>
      <w:tr>
        <w:trPr>
          <w:trHeight w:val="59" w:hRule="atLeast"/>
        </w:trPr>
        <w:tc>
          <w:tcPr>
            <w:tcW w:w="5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50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90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center"/>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1538" w:type="dxa"/>
            <w:tcBorders>
              <w:top w:val="single" w:sz="4" w:space="0" w:color="000000"/>
              <w:left w:val="single" w:sz="4" w:space="0" w:color="000000"/>
              <w:bottom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c>
          <w:tcPr>
            <w:tcW w:w="21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567"/>
                <w:tab w:val="left" w:pos="851" w:leader="none"/>
                <w:tab w:val="center" w:pos="4680" w:leader="none"/>
                <w:tab w:val="right" w:pos="9360" w:leader="none"/>
              </w:tabs>
              <w:jc w:val="both"/>
              <w:rPr>
                <w:rFonts w:ascii="Times New Roman" w:hAnsi="Times New Roman" w:cs="Times New Roman"/>
                <w:sz w:val="24"/>
                <w:szCs w:val="24"/>
                <w:lang w:eastAsia="x-none"/>
              </w:rPr>
            </w:pPr>
            <w:r>
              <w:rPr>
                <w:rFonts w:cs="Times New Roman" w:ascii="Times New Roman" w:hAnsi="Times New Roman"/>
                <w:sz w:val="24"/>
                <w:szCs w:val="24"/>
                <w:lang w:eastAsia="x-none"/>
              </w:rPr>
            </w:r>
          </w:p>
        </w:tc>
      </w:tr>
    </w:tbl>
    <w:p>
      <w:pPr>
        <w:pStyle w:val="Normal"/>
        <w:jc w:val="both"/>
        <w:rPr>
          <w:rFonts w:ascii="Times New Roman" w:hAnsi="Times New Roman" w:eastAsia="Calibri" w:cs="Times New Roman"/>
          <w:sz w:val="24"/>
          <w:szCs w:val="24"/>
          <w:lang w:eastAsia="en-US"/>
        </w:rPr>
      </w:pPr>
      <w:r>
        <w:rPr>
          <w:rFonts w:eastAsia="Calibri" w:cs="Times New Roman" w:ascii="Times New Roman" w:hAnsi="Times New Roman"/>
          <w:sz w:val="24"/>
          <w:szCs w:val="24"/>
          <w:lang w:eastAsia="en-US"/>
        </w:rPr>
      </w:r>
    </w:p>
    <w:p>
      <w:pPr>
        <w:pStyle w:val="Normal"/>
        <w:spacing w:lineRule="auto" w:line="259" w:before="0" w:after="21"/>
        <w:ind w:firstLine="567"/>
        <w:jc w:val="both"/>
        <w:rPr>
          <w:rFonts w:ascii="Times New Roman" w:hAnsi="Times New Roman" w:cs="Times New Roman"/>
          <w:sz w:val="24"/>
          <w:szCs w:val="24"/>
          <w:highlight w:val="yellow"/>
          <w:lang w:eastAsia="en-US"/>
        </w:rPr>
      </w:pPr>
      <w:r>
        <w:rPr>
          <w:rFonts w:ascii="Times New Roman" w:hAnsi="Times New Roman"/>
          <w:i/>
          <w:sz w:val="24"/>
          <w:szCs w:val="24"/>
        </w:rPr>
        <w:t xml:space="preserve">Par līgumiem, ar kuriem </w:t>
      </w:r>
      <w:r>
        <w:rPr>
          <w:rFonts w:ascii="Times New Roman" w:hAnsi="Times New Roman"/>
          <w:bCs/>
          <w:i/>
          <w:iCs/>
          <w:sz w:val="24"/>
          <w:szCs w:val="24"/>
        </w:rPr>
        <w:t xml:space="preserve">pretendents </w:t>
      </w:r>
      <w:r>
        <w:rPr>
          <w:rFonts w:ascii="Times New Roman" w:hAnsi="Times New Roman"/>
          <w:i/>
          <w:sz w:val="24"/>
          <w:szCs w:val="24"/>
        </w:rPr>
        <w:t xml:space="preserve">pamato savu pieredzi, </w:t>
      </w:r>
      <w:r>
        <w:rPr>
          <w:rFonts w:ascii="Times New Roman" w:hAnsi="Times New Roman"/>
          <w:i/>
          <w:sz w:val="24"/>
          <w:szCs w:val="24"/>
          <w:u w:val="single"/>
        </w:rPr>
        <w:t>jāiesniedz atsauksme vai alternatīvs dokuments</w:t>
      </w:r>
      <w:r>
        <w:rPr>
          <w:rFonts w:ascii="Times New Roman" w:hAnsi="Times New Roman"/>
          <w:i/>
          <w:sz w:val="24"/>
          <w:szCs w:val="24"/>
        </w:rPr>
        <w:t xml:space="preserve">, kas </w:t>
      </w:r>
      <w:r>
        <w:rPr>
          <w:rFonts w:ascii="Times New Roman" w:hAnsi="Times New Roman"/>
          <w:iCs/>
          <w:sz w:val="24"/>
          <w:szCs w:val="24"/>
        </w:rPr>
        <w:t>satur šādu informāciju: pasūtītājs, līguma priekšmets, līguma darbības termiņš, līgumcena un apliecinājumu, ka līgums izpildīts atbilstoši līguma nosacījumiem.</w:t>
      </w:r>
    </w:p>
    <w:p>
      <w:pPr>
        <w:pStyle w:val="Normal"/>
        <w:ind w:left="360" w:hanging="360"/>
        <w:rPr>
          <w:rFonts w:ascii="Times New Roman" w:hAnsi="Times New Roman" w:cs="Times New Roman"/>
          <w:sz w:val="24"/>
          <w:szCs w:val="24"/>
        </w:rPr>
      </w:pPr>
      <w:r>
        <w:rPr>
          <w:rFonts w:cs="Times New Roman" w:ascii="Times New Roman" w:hAnsi="Times New Roman"/>
          <w:sz w:val="24"/>
          <w:szCs w:val="24"/>
        </w:rPr>
      </w:r>
    </w:p>
    <w:p>
      <w:pPr>
        <w:pStyle w:val="Normal"/>
        <w:ind w:left="1440" w:hanging="1440"/>
        <w:rPr>
          <w:rFonts w:ascii="Times New Roman" w:hAnsi="Times New Roman" w:cs="Times New Roman"/>
          <w:sz w:val="24"/>
          <w:szCs w:val="24"/>
        </w:rPr>
      </w:pPr>
      <w:r>
        <w:rPr>
          <w:rFonts w:cs="Times New Roman" w:ascii="Times New Roman" w:hAnsi="Times New Roman"/>
          <w:sz w:val="24"/>
          <w:szCs w:val="24"/>
        </w:rPr>
        <w:t xml:space="preserve">Pielikumā: </w:t>
        <w:tab/>
        <w:t>________ atsauksmju kopijas uz ___ lp.</w:t>
      </w:r>
    </w:p>
    <w:p>
      <w:pPr>
        <w:pStyle w:val="Normal"/>
        <w:ind w:left="360" w:hanging="360"/>
        <w:rPr>
          <w:rFonts w:ascii="Times New Roman" w:hAnsi="Times New Roman" w:cs="Times New Roman"/>
          <w:sz w:val="24"/>
          <w:szCs w:val="24"/>
        </w:rPr>
      </w:pPr>
      <w:r>
        <w:rPr>
          <w:rFonts w:cs="Times New Roman" w:ascii="Times New Roman" w:hAnsi="Times New Roman"/>
          <w:sz w:val="24"/>
          <w:szCs w:val="24"/>
        </w:rPr>
      </w:r>
    </w:p>
    <w:p>
      <w:pPr>
        <w:pStyle w:val="Normal"/>
        <w:ind w:left="9360" w:hanging="9360"/>
        <w:rPr>
          <w:rFonts w:ascii="Times New Roman" w:hAnsi="Times New Roman" w:cs="Times New Roman"/>
          <w:i/>
          <w:i/>
          <w:color w:val="FF0000"/>
          <w:sz w:val="24"/>
          <w:szCs w:val="24"/>
          <w:lang w:eastAsia="en-US"/>
        </w:rPr>
      </w:pPr>
      <w:r>
        <w:rPr>
          <w:rFonts w:cs="Times New Roman" w:ascii="Times New Roman" w:hAnsi="Times New Roman"/>
          <w:i/>
          <w:sz w:val="24"/>
          <w:szCs w:val="24"/>
          <w:lang w:eastAsia="en-US"/>
        </w:rPr>
        <w:t>Pretendenta pārstāvja vai pilnvarotās personas paraksts</w:t>
      </w:r>
      <w:r>
        <w:rPr>
          <w:rFonts w:cs="Times New Roman" w:ascii="Times New Roman" w:hAnsi="Times New Roman"/>
          <w:b/>
          <w:sz w:val="24"/>
          <w:szCs w:val="24"/>
          <w:lang w:eastAsia="en-US"/>
        </w:rPr>
        <w:t xml:space="preserve"> _________________________</w:t>
      </w:r>
      <w:bookmarkEnd w:id="25"/>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rPr>
          <w:rFonts w:ascii="Times New Roman" w:hAnsi="Times New Roman" w:cs="Times New Roman"/>
          <w:i/>
          <w:i/>
          <w:color w:val="FF0000"/>
          <w:sz w:val="24"/>
          <w:szCs w:val="24"/>
          <w:lang w:eastAsia="en-US"/>
        </w:rPr>
      </w:pPr>
      <w:r>
        <w:rPr>
          <w:rFonts w:cs="Times New Roman" w:ascii="Times New Roman" w:hAnsi="Times New Roman"/>
          <w:i/>
          <w:color w:val="FF0000"/>
          <w:sz w:val="24"/>
          <w:szCs w:val="24"/>
          <w:lang w:eastAsia="en-US"/>
        </w:rPr>
      </w:r>
    </w:p>
    <w:p>
      <w:pPr>
        <w:pStyle w:val="Normal"/>
        <w:spacing w:lineRule="auto" w:line="259" w:before="0" w:after="160"/>
        <w:ind w:left="360" w:hanging="0"/>
        <w:contextualSpacing/>
        <w:jc w:val="right"/>
        <w:rPr>
          <w:rFonts w:ascii="Times New Roman" w:hAnsi="Times New Roman" w:cs="Times New Roman"/>
          <w:b/>
          <w:b/>
          <w:sz w:val="24"/>
          <w:szCs w:val="24"/>
        </w:rPr>
      </w:pPr>
      <w:r>
        <w:rPr>
          <w:rFonts w:cs="Times New Roman" w:ascii="Times New Roman" w:hAnsi="Times New Roman"/>
          <w:b/>
          <w:sz w:val="24"/>
          <w:szCs w:val="24"/>
        </w:rPr>
        <w:t>7. pielikums</w:t>
      </w:r>
    </w:p>
    <w:p>
      <w:pPr>
        <w:pStyle w:val="Normal"/>
        <w:jc w:val="right"/>
        <w:rPr>
          <w:rFonts w:ascii="Times New Roman" w:hAnsi="Times New Roman" w:cs="Times New Roman"/>
          <w:sz w:val="24"/>
          <w:szCs w:val="24"/>
        </w:rPr>
      </w:pPr>
      <w:r>
        <w:rPr>
          <w:rFonts w:cs="Times New Roman" w:ascii="Times New Roman" w:hAnsi="Times New Roman"/>
          <w:sz w:val="24"/>
          <w:szCs w:val="24"/>
          <w:lang w:eastAsia="en-US"/>
        </w:rPr>
        <w:t xml:space="preserve">iepirkuma </w:t>
      </w:r>
      <w:r>
        <w:rPr>
          <w:rFonts w:cs="Times New Roman" w:ascii="Times New Roman" w:hAnsi="Times New Roman"/>
          <w:color w:val="000000"/>
          <w:sz w:val="24"/>
          <w:szCs w:val="24"/>
          <w:lang w:eastAsia="ar-SA"/>
        </w:rPr>
        <w:t>„</w:t>
      </w:r>
      <w:r>
        <w:rPr>
          <w:rFonts w:cs="Times New Roman" w:ascii="Times New Roman" w:hAnsi="Times New Roman"/>
          <w:sz w:val="24"/>
          <w:szCs w:val="24"/>
        </w:rPr>
        <w:t xml:space="preserve">Nekustamā īpašuma tirgus vērtības, tirgus nomas maksas noteikšana un rakstveida atzinuma izgatavošanas pakalpojumi”, </w:t>
      </w:r>
    </w:p>
    <w:p>
      <w:pPr>
        <w:pStyle w:val="Normal"/>
        <w:jc w:val="right"/>
        <w:rPr>
          <w:rFonts w:ascii="Times New Roman" w:hAnsi="Times New Roman" w:cs="Times New Roman"/>
          <w:sz w:val="24"/>
          <w:szCs w:val="24"/>
          <w:lang w:eastAsia="en-US"/>
        </w:rPr>
      </w:pPr>
      <w:r>
        <w:rPr>
          <w:rFonts w:cs="Times New Roman" w:ascii="Times New Roman" w:hAnsi="Times New Roman"/>
          <w:b/>
          <w:sz w:val="24"/>
          <w:szCs w:val="24"/>
        </w:rPr>
        <w:t>iepirkuma identifikācijas Nr. LNP 2024/11</w:t>
      </w:r>
      <w:r>
        <w:rPr>
          <w:rFonts w:cs="Times New Roman" w:ascii="Times New Roman" w:hAnsi="Times New Roman"/>
          <w:b/>
          <w:color w:val="000000"/>
          <w:sz w:val="24"/>
          <w:szCs w:val="24"/>
          <w:lang w:eastAsia="en-US"/>
        </w:rPr>
        <w:t>,</w:t>
      </w:r>
      <w:r>
        <w:rPr>
          <w:rFonts w:cs="Times New Roman" w:ascii="Times New Roman" w:hAnsi="Times New Roman"/>
          <w:b/>
          <w:sz w:val="24"/>
          <w:szCs w:val="24"/>
          <w:lang w:eastAsia="en-US"/>
        </w:rPr>
        <w:t xml:space="preserve"> nolikumam</w:t>
      </w:r>
    </w:p>
    <w:p>
      <w:pPr>
        <w:pStyle w:val="Parasts2"/>
        <w:jc w:val="center"/>
        <w:rPr>
          <w:b/>
          <w:b/>
        </w:rPr>
      </w:pPr>
      <w:r>
        <w:rPr>
          <w:b/>
        </w:rPr>
      </w:r>
    </w:p>
    <w:p>
      <w:pPr>
        <w:pStyle w:val="Parasts2"/>
        <w:jc w:val="center"/>
        <w:rPr>
          <w:rFonts w:ascii="Times New Roman" w:hAnsi="Times New Roman"/>
        </w:rPr>
      </w:pPr>
      <w:r>
        <w:rPr>
          <w:rFonts w:ascii="Times New Roman" w:hAnsi="Times New Roman"/>
          <w:b/>
        </w:rPr>
        <w:t>APLIECINĀJUMS PAR NEATKARĪGI IZSTRĀDĀTU PIEDĀVĀJUMU</w:t>
      </w:r>
    </w:p>
    <w:p>
      <w:pPr>
        <w:pStyle w:val="Naisf"/>
        <w:spacing w:before="0" w:after="0"/>
        <w:ind w:right="423" w:hanging="0"/>
        <w:rPr/>
      </w:pPr>
      <w:r>
        <w:rPr/>
      </w:r>
    </w:p>
    <w:p>
      <w:pPr>
        <w:pStyle w:val="Naisf"/>
        <w:spacing w:before="0" w:after="0"/>
        <w:ind w:right="423" w:hanging="0"/>
        <w:rPr/>
      </w:pPr>
      <w:r>
        <w:rPr>
          <w:rStyle w:val="Noklusjumarindkopasfonts2"/>
        </w:rPr>
        <w:t xml:space="preserve">Ar šo, sniedzot izsmeļošu un patiesu informāciju, </w:t>
      </w:r>
      <w:r>
        <w:rPr>
          <w:rStyle w:val="Noklusjumarindkopasfonts2"/>
          <w:bCs/>
        </w:rPr>
        <w:t>_________________, reģ nr</w:t>
      </w:r>
      <w:r>
        <w:rPr>
          <w:rStyle w:val="Noklusjumarindkopasfonts2"/>
          <w:b/>
        </w:rPr>
        <w:t>.__________</w:t>
      </w:r>
    </w:p>
    <w:p>
      <w:pPr>
        <w:pStyle w:val="Naisf"/>
        <w:spacing w:before="0" w:after="0"/>
        <w:ind w:right="423" w:hanging="0"/>
        <w:jc w:val="right"/>
        <w:rPr/>
      </w:pPr>
      <w:r>
        <w:rPr>
          <w:i/>
        </w:rPr>
        <w:t>Pretendenta/kandidāta nosaukums, reģ. Nr.</w:t>
      </w:r>
    </w:p>
    <w:p>
      <w:pPr>
        <w:pStyle w:val="Naisf"/>
        <w:spacing w:before="0" w:after="0"/>
        <w:ind w:right="423" w:hanging="0"/>
        <w:rPr/>
      </w:pPr>
      <w:r>
        <w:rPr>
          <w:rStyle w:val="Noklusjumarindkopasfonts2"/>
        </w:rPr>
        <w:t>(turpmāk – Pretendents) attiecībā uz konkrēto iepirkuma procedūru apliecina, ka</w:t>
      </w:r>
    </w:p>
    <w:p>
      <w:pPr>
        <w:pStyle w:val="Naisf"/>
        <w:spacing w:before="0" w:after="0"/>
        <w:ind w:right="423" w:hanging="0"/>
        <w:rPr/>
      </w:pPr>
      <w:r>
        <w:rPr/>
      </w:r>
    </w:p>
    <w:p>
      <w:pPr>
        <w:pStyle w:val="Parasts2"/>
        <w:spacing w:lineRule="auto" w:line="240"/>
        <w:ind w:firstLine="709"/>
        <w:jc w:val="both"/>
        <w:rPr/>
      </w:pPr>
      <w:r>
        <w:rPr>
          <w:rStyle w:val="Noklusjumarindkopasfonts2"/>
          <w:rFonts w:ascii="Times New Roman" w:hAnsi="Times New Roman"/>
          <w:b/>
          <w:bCs/>
        </w:rPr>
        <w:t xml:space="preserve">1. </w:t>
      </w:r>
      <w:r>
        <w:rPr>
          <w:rFonts w:ascii="Times New Roman" w:hAnsi="Times New Roman"/>
        </w:rPr>
        <w:t>Pretendents</w:t>
      </w:r>
      <w:r>
        <w:rPr>
          <w:rStyle w:val="Noklusjumarindkopasfonts2"/>
          <w:rFonts w:ascii="Times New Roman" w:hAnsi="Times New Roman"/>
          <w:bCs/>
        </w:rPr>
        <w:t xml:space="preserve"> ir iepazinies un piekrīt šī apliecinājuma saturam</w:t>
      </w:r>
      <w:r>
        <w:rPr>
          <w:rFonts w:ascii="Times New Roman" w:hAnsi="Times New Roman"/>
        </w:rPr>
        <w:t>.</w:t>
      </w:r>
    </w:p>
    <w:p>
      <w:pPr>
        <w:pStyle w:val="Parasts2"/>
        <w:spacing w:lineRule="auto" w:line="240"/>
        <w:ind w:firstLine="709"/>
        <w:jc w:val="both"/>
        <w:rPr/>
      </w:pPr>
      <w:r>
        <w:rPr>
          <w:rStyle w:val="Noklusjumarindkopasfonts2"/>
          <w:rFonts w:ascii="Times New Roman" w:hAnsi="Times New Roman"/>
          <w:b/>
          <w:bCs/>
        </w:rPr>
        <w:t xml:space="preserve">2. </w:t>
      </w:r>
      <w:r>
        <w:rPr>
          <w:rFonts w:ascii="Times New Roman" w:hAnsi="Times New Roman"/>
        </w:rPr>
        <w:t>Pretendents apzinās savu pienākumu šajā apliecinājumā norādīt pilnīgu, izsmeļošu un patiesu informāciju.</w:t>
      </w:r>
    </w:p>
    <w:p>
      <w:pPr>
        <w:pStyle w:val="Parasts2"/>
        <w:spacing w:lineRule="auto" w:line="240"/>
        <w:ind w:firstLine="709"/>
        <w:jc w:val="both"/>
        <w:rPr/>
      </w:pPr>
      <w:r>
        <w:rPr>
          <w:rStyle w:val="Noklusjumarindkopasfonts2"/>
          <w:rFonts w:ascii="Times New Roman" w:hAnsi="Times New Roman"/>
          <w:b/>
          <w:bCs/>
        </w:rPr>
        <w:t xml:space="preserve">3. </w:t>
      </w:r>
      <w:r>
        <w:rPr>
          <w:rFonts w:ascii="Times New Roman" w:hAnsi="Times New Roman"/>
        </w:rPr>
        <w:t>Pretendents</w:t>
      </w:r>
      <w:r>
        <w:rPr>
          <w:rStyle w:val="Noklusjumarindkopasfonts2"/>
          <w:rFonts w:ascii="Times New Roman" w:hAnsi="Times New Roman"/>
          <w:bCs/>
        </w:rPr>
        <w:t xml:space="preserve"> ir pilnvarojis</w:t>
      </w:r>
      <w:r>
        <w:rPr>
          <w:rStyle w:val="Noklusjumarindkopasfonts2"/>
          <w:rFonts w:ascii="Times New Roman" w:hAnsi="Times New Roman"/>
          <w:b/>
          <w:bCs/>
        </w:rPr>
        <w:t xml:space="preserve"> </w:t>
      </w:r>
      <w:r>
        <w:rPr>
          <w:rStyle w:val="Noklusjumarindkopasfonts2"/>
          <w:rFonts w:ascii="Times New Roman" w:hAnsi="Times New Roman"/>
          <w:bCs/>
        </w:rPr>
        <w:t xml:space="preserve">katru personu, kuras paraksts atrodas uz iepirkuma piedāvājuma, </w:t>
      </w:r>
      <w:r>
        <w:rPr>
          <w:rFonts w:ascii="Times New Roman" w:hAnsi="Times New Roman"/>
        </w:rPr>
        <w:t>parakstīt šo apliecinājumu Pretendenta vārdā.</w:t>
      </w:r>
    </w:p>
    <w:p>
      <w:pPr>
        <w:pStyle w:val="Parasts2"/>
        <w:spacing w:lineRule="auto" w:line="240"/>
        <w:ind w:firstLine="709"/>
        <w:jc w:val="both"/>
        <w:rPr/>
      </w:pPr>
      <w:r>
        <w:rPr>
          <w:rStyle w:val="Noklusjumarindkopasfonts2"/>
          <w:rFonts w:ascii="Times New Roman" w:hAnsi="Times New Roman"/>
          <w:b/>
          <w:bCs/>
        </w:rPr>
        <w:t xml:space="preserve">4. </w:t>
      </w:r>
      <w:r>
        <w:rPr>
          <w:rStyle w:val="Noklusjumarindkopasfonts2"/>
          <w:rFonts w:ascii="Times New Roman" w:hAnsi="Times New Roman"/>
          <w:bCs/>
        </w:rPr>
        <w:t>Pretendents informē, ka</w:t>
      </w:r>
      <w:r>
        <w:rPr>
          <w:rFonts w:ascii="Times New Roman" w:hAnsi="Times New Roman"/>
        </w:rPr>
        <w:t xml:space="preserve"> (</w:t>
      </w:r>
      <w:r>
        <w:rPr>
          <w:rStyle w:val="Noklusjumarindkopasfonts2"/>
          <w:rFonts w:ascii="Times New Roman" w:hAnsi="Times New Roman"/>
          <w:i/>
        </w:rPr>
        <w:t>pēc vajadzības, atzīmējiet vienu no turpmāk minētajiem</w:t>
      </w:r>
      <w:r>
        <w:rPr>
          <w:rFonts w:ascii="Times New Roman" w:hAnsi="Times New Roman"/>
        </w:rPr>
        <w:t>):</w:t>
      </w:r>
    </w:p>
    <w:tbl>
      <w:tblPr>
        <w:tblW w:w="9128" w:type="dxa"/>
        <w:jc w:val="left"/>
        <w:tblInd w:w="1402" w:type="dxa"/>
        <w:tblLayout w:type="fixed"/>
        <w:tblCellMar>
          <w:top w:w="0" w:type="dxa"/>
          <w:left w:w="108" w:type="dxa"/>
          <w:bottom w:w="0" w:type="dxa"/>
          <w:right w:w="108" w:type="dxa"/>
        </w:tblCellMar>
        <w:tblLook w:firstRow="0" w:noVBand="0" w:lastRow="0" w:firstColumn="0" w:lastColumn="0" w:noHBand="0" w:val="0000"/>
      </w:tblPr>
      <w:tblGrid>
        <w:gridCol w:w="406"/>
        <w:gridCol w:w="8721"/>
      </w:tblGrid>
      <w:tr>
        <w:trPr/>
        <w:tc>
          <w:tcPr>
            <w:tcW w:w="406" w:type="dxa"/>
            <w:tcBorders>
              <w:top w:val="single" w:sz="4" w:space="0" w:color="FFFFFF"/>
              <w:left w:val="single" w:sz="4" w:space="0" w:color="FFFFFF"/>
              <w:bottom w:val="single" w:sz="4" w:space="0" w:color="FFFFFF"/>
              <w:right w:val="single" w:sz="4" w:space="0" w:color="FFFFFF"/>
            </w:tcBorders>
            <w:shd w:color="auto" w:fill="auto" w:val="clear"/>
          </w:tcPr>
          <w:p>
            <w:pPr>
              <w:pStyle w:val="Parasts2"/>
              <w:widowControl w:val="false"/>
              <w:spacing w:lineRule="auto" w:line="240"/>
              <w:jc w:val="both"/>
              <w:textAlignment w:val="auto"/>
              <w:rPr/>
            </w:pPr>
            <w:r>
              <w:rPr>
                <w:rStyle w:val="Noklusjumarindkopasfonts2"/>
                <w:rFonts w:eastAsia="MS Gothic" w:cs="Segoe UI Symbol" w:ascii="Times New Roman" w:hAnsi="Times New Roman"/>
              </w:rPr>
              <w:t>☐</w:t>
            </w:r>
          </w:p>
        </w:tc>
        <w:tc>
          <w:tcPr>
            <w:tcW w:w="8721" w:type="dxa"/>
            <w:tcBorders>
              <w:top w:val="single" w:sz="4" w:space="0" w:color="FFFFFF"/>
              <w:left w:val="single" w:sz="4" w:space="0" w:color="FFFFFF"/>
              <w:bottom w:val="single" w:sz="4" w:space="0" w:color="FFFFFF"/>
              <w:right w:val="single" w:sz="4" w:space="0" w:color="FFFFFF"/>
            </w:tcBorders>
            <w:shd w:color="auto" w:fill="auto" w:val="clear"/>
          </w:tcPr>
          <w:p>
            <w:pPr>
              <w:pStyle w:val="Parasts2"/>
              <w:widowControl w:val="false"/>
              <w:spacing w:lineRule="auto" w:line="240"/>
              <w:jc w:val="both"/>
              <w:textAlignment w:val="auto"/>
              <w:rPr/>
            </w:pPr>
            <w:r>
              <w:rPr>
                <w:rStyle w:val="Noklusjumarindkopasfonts2"/>
                <w:rFonts w:ascii="Times New Roman" w:hAnsi="Times New Roman"/>
              </w:rPr>
              <w:t>4.1. ir iesniedzis piedāvājumu neatkarīgi no konkurentiem</w:t>
            </w:r>
            <w:r>
              <w:rPr>
                <w:rStyle w:val="Vresenkurs"/>
                <w:rFonts w:ascii="Times New Roman" w:hAnsi="Times New Roman"/>
              </w:rPr>
              <w:footnoteReference w:id="2"/>
            </w:r>
            <w:r>
              <w:rPr>
                <w:rStyle w:val="Noklusjumarindkopasfonts2"/>
                <w:rFonts w:ascii="Times New Roman" w:hAnsi="Times New Roman"/>
              </w:rPr>
              <w:t xml:space="preserve"> un bez konsultācijām, līgumiem vai vienošanām, vai cita veida saziņas ar konkurentiem;</w:t>
            </w:r>
          </w:p>
        </w:tc>
      </w:tr>
      <w:tr>
        <w:trPr/>
        <w:tc>
          <w:tcPr>
            <w:tcW w:w="406" w:type="dxa"/>
            <w:tcBorders>
              <w:top w:val="single" w:sz="4" w:space="0" w:color="FFFFFF"/>
              <w:left w:val="single" w:sz="4" w:space="0" w:color="FFFFFF"/>
              <w:bottom w:val="single" w:sz="4" w:space="0" w:color="FFFFFF"/>
              <w:right w:val="single" w:sz="4" w:space="0" w:color="FFFFFF"/>
            </w:tcBorders>
            <w:shd w:color="auto" w:fill="auto" w:val="clear"/>
          </w:tcPr>
          <w:p>
            <w:pPr>
              <w:pStyle w:val="Parasts2"/>
              <w:widowControl w:val="false"/>
              <w:spacing w:lineRule="auto" w:line="240"/>
              <w:jc w:val="both"/>
              <w:textAlignment w:val="auto"/>
              <w:rPr/>
            </w:pPr>
            <w:r>
              <w:rPr>
                <w:rStyle w:val="Noklusjumarindkopasfonts2"/>
                <w:rFonts w:eastAsia="MS Gothic" w:cs="Segoe UI Symbol" w:ascii="Times New Roman" w:hAnsi="Times New Roman"/>
              </w:rPr>
              <w:t>☐</w:t>
            </w:r>
          </w:p>
        </w:tc>
        <w:tc>
          <w:tcPr>
            <w:tcW w:w="8721" w:type="dxa"/>
            <w:tcBorders>
              <w:top w:val="single" w:sz="4" w:space="0" w:color="FFFFFF"/>
              <w:left w:val="single" w:sz="4" w:space="0" w:color="FFFFFF"/>
              <w:bottom w:val="single" w:sz="4" w:space="0" w:color="FFFFFF"/>
              <w:right w:val="single" w:sz="4" w:space="0" w:color="FFFFFF"/>
            </w:tcBorders>
            <w:shd w:color="auto" w:fill="auto" w:val="clear"/>
          </w:tcPr>
          <w:p>
            <w:pPr>
              <w:pStyle w:val="Parasts2"/>
              <w:widowControl w:val="false"/>
              <w:spacing w:lineRule="auto" w:line="240"/>
              <w:jc w:val="both"/>
              <w:textAlignment w:val="auto"/>
              <w:rPr/>
            </w:pPr>
            <w:r>
              <w:rPr>
                <w:rStyle w:val="Noklusjumarindkopasfonts2"/>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pPr>
        <w:pStyle w:val="Parasts2"/>
        <w:spacing w:lineRule="auto" w:line="240"/>
        <w:ind w:firstLine="720"/>
        <w:jc w:val="both"/>
        <w:rPr/>
      </w:pPr>
      <w:r>
        <w:rPr>
          <w:rStyle w:val="Noklusjumarindkopasfonts2"/>
          <w:rFonts w:ascii="Times New Roman" w:hAnsi="Times New Roman"/>
          <w:b/>
          <w:bCs/>
        </w:rPr>
        <w:t xml:space="preserve">5. </w:t>
      </w:r>
      <w:r>
        <w:rPr>
          <w:rStyle w:val="Noklusjumarindkopasfonts2"/>
          <w:rFonts w:ascii="Times New Roman" w:hAnsi="Times New Roman"/>
          <w:bCs/>
        </w:rPr>
        <w:t>P</w:t>
      </w:r>
      <w:r>
        <w:rPr>
          <w:rFonts w:ascii="Times New Roman" w:hAnsi="Times New Roman"/>
        </w:rPr>
        <w:t>retendentam, izņemot gadījumu, kad pretendents šādu saziņu ir paziņojis saskaņā ar šī apliecinājuma 4.2. apakšpunktu, ne ar vienu konkurentu nav bijusi saziņa attiecībā uz:</w:t>
      </w:r>
    </w:p>
    <w:p>
      <w:pPr>
        <w:pStyle w:val="Parasts2"/>
        <w:spacing w:lineRule="auto" w:line="240"/>
        <w:ind w:left="720" w:firstLine="720"/>
        <w:jc w:val="both"/>
        <w:rPr>
          <w:rFonts w:ascii="Times New Roman" w:hAnsi="Times New Roman"/>
        </w:rPr>
      </w:pPr>
      <w:r>
        <w:rPr>
          <w:rFonts w:ascii="Times New Roman" w:hAnsi="Times New Roman"/>
        </w:rPr>
        <w:t>5.1. cenām;</w:t>
      </w:r>
    </w:p>
    <w:p>
      <w:pPr>
        <w:pStyle w:val="Parasts2"/>
        <w:spacing w:lineRule="auto" w:line="240"/>
        <w:ind w:left="720" w:firstLine="720"/>
        <w:jc w:val="both"/>
        <w:rPr>
          <w:rFonts w:ascii="Times New Roman" w:hAnsi="Times New Roman"/>
        </w:rPr>
      </w:pPr>
      <w:r>
        <w:rPr>
          <w:rFonts w:ascii="Times New Roman" w:hAnsi="Times New Roman"/>
        </w:rPr>
        <w:t>5.2. cenas aprēķināšanas metodēm, faktoriem (apstākļiem) vai formulām;</w:t>
      </w:r>
    </w:p>
    <w:p>
      <w:pPr>
        <w:pStyle w:val="Parasts2"/>
        <w:spacing w:lineRule="auto" w:line="240"/>
        <w:ind w:left="1440" w:hanging="0"/>
        <w:jc w:val="both"/>
        <w:rPr>
          <w:rFonts w:ascii="Times New Roman" w:hAnsi="Times New Roman"/>
        </w:rPr>
      </w:pPr>
      <w:r>
        <w:rPr>
          <w:rFonts w:ascii="Times New Roman" w:hAnsi="Times New Roman"/>
        </w:rPr>
        <w:t>5.3. nodomu vai lēmumu piedalīties vai nepiedalīties iepirkumā (iesniegt vai neiesniegt piedāvājumu); vai</w:t>
      </w:r>
    </w:p>
    <w:p>
      <w:pPr>
        <w:pStyle w:val="Parasts2"/>
        <w:spacing w:lineRule="auto" w:line="240"/>
        <w:ind w:left="720" w:firstLine="720"/>
        <w:jc w:val="both"/>
        <w:rPr>
          <w:rFonts w:ascii="Times New Roman" w:hAnsi="Times New Roman"/>
        </w:rPr>
      </w:pPr>
      <w:r>
        <w:rPr>
          <w:rFonts w:ascii="Times New Roman" w:hAnsi="Times New Roman"/>
        </w:rPr>
        <w:t xml:space="preserve">5.4. tādu piedāvājuma iesniegšanu, kas neatbilst iepirkuma prasībām; </w:t>
      </w:r>
    </w:p>
    <w:p>
      <w:pPr>
        <w:pStyle w:val="Parasts2"/>
        <w:spacing w:lineRule="auto" w:line="240"/>
        <w:ind w:left="1440" w:hanging="0"/>
        <w:jc w:val="both"/>
        <w:rPr>
          <w:rFonts w:ascii="Times New Roman" w:hAnsi="Times New Roman"/>
        </w:rPr>
      </w:pPr>
      <w:r>
        <w:rPr>
          <w:rFonts w:ascii="Times New Roman" w:hAnsi="Times New Roman"/>
        </w:rPr>
        <w:t>5.5. kvalitāti, apjomu, specifikāciju, izpildes, piegādes vai citiem nosacījumiem, kas risināmi neatkarīgi no konkurentiem, tiem produktiem vai pakalpojumiem, uz ko attiecas šis iepirkums.</w:t>
      </w:r>
    </w:p>
    <w:p>
      <w:pPr>
        <w:pStyle w:val="Parasts2"/>
        <w:spacing w:lineRule="auto" w:line="240"/>
        <w:ind w:firstLine="709"/>
        <w:jc w:val="both"/>
        <w:rPr/>
      </w:pPr>
      <w:r>
        <w:rPr>
          <w:rStyle w:val="Noklusjumarindkopasfonts2"/>
          <w:rFonts w:ascii="Times New Roman" w:hAnsi="Times New Roman"/>
          <w:b/>
        </w:rPr>
        <w:t>6.</w:t>
      </w:r>
      <w:r>
        <w:rPr>
          <w:rFonts w:ascii="Times New Roman" w:hAnsi="Times New Roman"/>
        </w:rPr>
        <w:t xml:space="preserve"> </w:t>
      </w:r>
      <w:r>
        <w:rPr>
          <w:rStyle w:val="Noklusjumarindkopasfonts2"/>
          <w:rFonts w:ascii="Times New Roman" w:hAnsi="Times New Roman"/>
          <w:bCs/>
        </w:rPr>
        <w:t>Pretendents</w:t>
      </w:r>
      <w:r>
        <w:rPr>
          <w:rStyle w:val="Noklusjumarindkopasfonts2"/>
          <w:rFonts w:ascii="Times New Roman" w:hAnsi="Times New Roman"/>
          <w:b/>
          <w:bCs/>
        </w:rPr>
        <w:t xml:space="preserve"> </w:t>
      </w:r>
      <w:r>
        <w:rPr>
          <w:rStyle w:val="Noklusjumarindkopasfonts2"/>
          <w:rFonts w:ascii="Times New Roman" w:hAnsi="Times New Roman"/>
          <w:bCs/>
        </w:rPr>
        <w:t xml:space="preserve">nav </w:t>
      </w:r>
      <w:r>
        <w:rPr>
          <w:rFonts w:ascii="Times New Roman" w:hAnsi="Times New Roman"/>
        </w:rPr>
        <w:t>apzināti, tieši vai netieši</w:t>
      </w:r>
      <w:r>
        <w:rPr>
          <w:rStyle w:val="Noklusjumarindkopasfonts2"/>
          <w:rFonts w:ascii="Times New Roman" w:hAnsi="Times New Roman"/>
          <w:bCs/>
        </w:rPr>
        <w:t xml:space="preserve"> atklājis un neatklās piedāvājuma noteikumus</w:t>
      </w:r>
      <w:r>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pPr>
        <w:pStyle w:val="Parasts2"/>
        <w:spacing w:lineRule="auto" w:line="240"/>
        <w:ind w:firstLine="709"/>
        <w:jc w:val="both"/>
        <w:rPr/>
      </w:pPr>
      <w:r>
        <w:rPr>
          <w:rStyle w:val="Noklusjumarindkopasfonts2"/>
          <w:rFonts w:ascii="Times New Roman" w:hAnsi="Times New Roman"/>
          <w:b/>
        </w:rPr>
        <w:t xml:space="preserve">7. </w:t>
      </w:r>
      <w:r>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Pr>
          <w:rStyle w:val="Noklusjumarindkopasfonts2"/>
          <w:rFonts w:ascii="Times New Roman" w:hAnsi="Times New Roman"/>
          <w:lang w:eastAsia="ru-RU"/>
        </w:rPr>
        <w:t>Izņēmums ir gadījumi, kad kompetentā konkurences iestāde, konstatējot konkurences tiesību pārkāpumu, ir atbrīvojusi pretendentu, kurš iecietības programmas ietvaros ir sadarbojies ar to, no naudas soda vai naudas sodu samazinājusi.</w:t>
      </w:r>
    </w:p>
    <w:p>
      <w:pPr>
        <w:pStyle w:val="Parasts2"/>
        <w:spacing w:lineRule="auto" w:line="240"/>
        <w:rPr>
          <w:rFonts w:ascii="Times New Roman" w:hAnsi="Times New Roman"/>
        </w:rPr>
      </w:pPr>
      <w:r>
        <w:rPr>
          <w:rFonts w:ascii="Times New Roman" w:hAnsi="Times New Roman"/>
          <w:lang w:eastAsia="ru-RU"/>
        </w:rPr>
        <w:t>Datums __.___.2024.</w:t>
        <w:tab/>
        <w:tab/>
        <w:tab/>
        <w:t xml:space="preserve">                </w:t>
        <w:tab/>
      </w:r>
    </w:p>
    <w:tbl>
      <w:tblPr>
        <w:tblW w:w="8715" w:type="dxa"/>
        <w:jc w:val="left"/>
        <w:tblInd w:w="324" w:type="dxa"/>
        <w:tblLayout w:type="fixed"/>
        <w:tblCellMar>
          <w:top w:w="0" w:type="dxa"/>
          <w:left w:w="108" w:type="dxa"/>
          <w:bottom w:w="0" w:type="dxa"/>
          <w:right w:w="108" w:type="dxa"/>
        </w:tblCellMar>
        <w:tblLook w:firstRow="0" w:noVBand="0" w:lastRow="0" w:firstColumn="0" w:lastColumn="0" w:noHBand="0" w:val="0000"/>
      </w:tblPr>
      <w:tblGrid>
        <w:gridCol w:w="1837"/>
        <w:gridCol w:w="1649"/>
        <w:gridCol w:w="1652"/>
        <w:gridCol w:w="1644"/>
        <w:gridCol w:w="1933"/>
      </w:tblGrid>
      <w:tr>
        <w:trPr>
          <w:trHeight w:val="269" w:hRule="atLeast"/>
        </w:trPr>
        <w:tc>
          <w:tcPr>
            <w:tcW w:w="1837" w:type="dxa"/>
            <w:tcBorders/>
            <w:shd w:color="auto" w:fill="auto" w:val="clear"/>
          </w:tcPr>
          <w:p>
            <w:pPr>
              <w:pStyle w:val="Parasts2"/>
              <w:widowControl w:val="false"/>
              <w:spacing w:lineRule="auto" w:line="240"/>
              <w:rPr>
                <w:rFonts w:ascii="Times New Roman" w:hAnsi="Times New Roman"/>
              </w:rPr>
            </w:pPr>
            <w:r>
              <w:rPr>
                <w:rFonts w:ascii="Times New Roman" w:hAnsi="Times New Roman"/>
              </w:rPr>
            </w:r>
          </w:p>
        </w:tc>
        <w:tc>
          <w:tcPr>
            <w:tcW w:w="1649" w:type="dxa"/>
            <w:tcBorders/>
            <w:shd w:color="auto" w:fill="auto" w:val="clear"/>
          </w:tcPr>
          <w:p>
            <w:pPr>
              <w:pStyle w:val="Parasts2"/>
              <w:widowControl w:val="false"/>
              <w:spacing w:lineRule="auto" w:line="240"/>
              <w:jc w:val="center"/>
              <w:rPr>
                <w:rFonts w:ascii="Times New Roman" w:hAnsi="Times New Roman"/>
                <w:lang w:eastAsia="ru-RU"/>
              </w:rPr>
            </w:pPr>
            <w:r>
              <w:rPr>
                <w:rFonts w:ascii="Times New Roman" w:hAnsi="Times New Roman"/>
                <w:lang w:eastAsia="ru-RU"/>
              </w:rPr>
            </w:r>
          </w:p>
        </w:tc>
        <w:tc>
          <w:tcPr>
            <w:tcW w:w="1652" w:type="dxa"/>
            <w:tcBorders/>
            <w:shd w:color="auto" w:fill="auto" w:val="clear"/>
          </w:tcPr>
          <w:p>
            <w:pPr>
              <w:pStyle w:val="Parasts2"/>
              <w:widowControl w:val="false"/>
              <w:spacing w:lineRule="auto" w:line="240"/>
              <w:jc w:val="center"/>
              <w:rPr>
                <w:rFonts w:ascii="Times New Roman" w:hAnsi="Times New Roman"/>
                <w:lang w:eastAsia="ru-RU"/>
              </w:rPr>
            </w:pPr>
            <w:r>
              <w:rPr>
                <w:rFonts w:ascii="Times New Roman" w:hAnsi="Times New Roman"/>
                <w:lang w:eastAsia="ru-RU"/>
              </w:rPr>
            </w:r>
          </w:p>
        </w:tc>
        <w:tc>
          <w:tcPr>
            <w:tcW w:w="1644" w:type="dxa"/>
            <w:tcBorders/>
            <w:shd w:color="auto" w:fill="auto" w:val="clear"/>
          </w:tcPr>
          <w:p>
            <w:pPr>
              <w:pStyle w:val="Parasts2"/>
              <w:widowControl w:val="false"/>
              <w:spacing w:lineRule="auto" w:line="240"/>
              <w:jc w:val="center"/>
              <w:rPr>
                <w:rFonts w:ascii="Times New Roman" w:hAnsi="Times New Roman"/>
                <w:lang w:eastAsia="ru-RU"/>
              </w:rPr>
            </w:pPr>
            <w:r>
              <w:rPr>
                <w:rFonts w:ascii="Times New Roman" w:hAnsi="Times New Roman"/>
                <w:lang w:eastAsia="ru-RU"/>
              </w:rPr>
            </w:r>
          </w:p>
        </w:tc>
        <w:tc>
          <w:tcPr>
            <w:tcW w:w="1933" w:type="dxa"/>
            <w:tcBorders>
              <w:top w:val="single" w:sz="4" w:space="0" w:color="000000"/>
            </w:tcBorders>
            <w:shd w:color="auto" w:fill="auto" w:val="clear"/>
          </w:tcPr>
          <w:p>
            <w:pPr>
              <w:pStyle w:val="Parasts2"/>
              <w:widowControl w:val="false"/>
              <w:spacing w:lineRule="auto" w:line="240"/>
              <w:jc w:val="center"/>
              <w:rPr>
                <w:rFonts w:ascii="Times New Roman" w:hAnsi="Times New Roman"/>
              </w:rPr>
            </w:pPr>
            <w:r>
              <w:rPr>
                <w:rFonts w:ascii="Times New Roman" w:hAnsi="Times New Roman"/>
                <w:lang w:eastAsia="ru-RU"/>
              </w:rPr>
              <w:t>Paraksts</w:t>
            </w:r>
          </w:p>
        </w:tc>
      </w:tr>
    </w:tbl>
    <w:p>
      <w:pPr>
        <w:pStyle w:val="Naisnod"/>
        <w:spacing w:before="0" w:after="0"/>
        <w:jc w:val="left"/>
        <w:rPr>
          <w:rFonts w:ascii="Times New Roman" w:hAnsi="Times New Roman"/>
          <w:sz w:val="24"/>
          <w:szCs w:val="24"/>
        </w:rPr>
      </w:pPr>
      <w:r>
        <w:rPr/>
      </w:r>
    </w:p>
    <w:sectPr>
      <w:headerReference w:type="default" r:id="rId19"/>
      <w:footerReference w:type="default" r:id="rId20"/>
      <w:footnotePr>
        <w:numFmt w:val="decimal"/>
      </w:footnotePr>
      <w:type w:val="nextPage"/>
      <w:pgSz w:w="11906" w:h="16838"/>
      <w:pgMar w:left="975" w:right="707" w:gutter="0" w:header="709" w:top="1134" w:footer="709" w:bottom="766"/>
      <w:pgNumType w:fmt="decimal"/>
      <w:formProt w:val="false"/>
      <w:textDirection w:val="lrTb"/>
      <w:docGrid w:type="default" w:linePitch="36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ba"/>
    <w:family w:val="roman"/>
    <w:pitch w:val="variable"/>
  </w:font>
  <w:font w:name="Calibri">
    <w:charset w:val="01"/>
    <w:family w:val="roman"/>
    <w:pitch w:val="default"/>
  </w:font>
  <w:font w:name="Arial">
    <w:charset w:val="01"/>
    <w:family w:val="roman"/>
    <w:pitch w:val="default"/>
  </w:font>
  <w:font w:name="Times New Roman">
    <w:charset w:val="01"/>
    <w:family w:val="roman"/>
    <w:pitch w:val="default"/>
  </w:font>
  <w:font w:name="RimTimes">
    <w:charset w:val="01"/>
    <w:family w:val="roman"/>
    <w:pitch w:val="default"/>
  </w:font>
  <w:font w:name="Times New Roman Bold">
    <w:charset w:val="01"/>
    <w:family w:val="roman"/>
    <w:pitch w:val="default"/>
  </w:font>
  <w:font w:name="Tahoma">
    <w:charset w:val="01"/>
    <w:family w:val="roman"/>
    <w:pitch w:val="default"/>
  </w:font>
  <w:font w:name="Courier New">
    <w:charset w:val="01"/>
    <w:family w:val="roman"/>
    <w:pitch w:val="default"/>
  </w:font>
  <w:font w:name="!Neo'w Arial">
    <w:charset w:val="01"/>
    <w:family w:val="roman"/>
    <w:pitch w:val="default"/>
  </w:font>
  <w:font w:name="Arial Unicode MS">
    <w:charset w:val="01"/>
    <w:family w:val="roman"/>
    <w:pitch w:val="default"/>
  </w:font>
  <w:font w:name="Verdana">
    <w:charset w:val="01"/>
    <w:family w:val="roman"/>
    <w:pitch w:val="default"/>
  </w:font>
  <w:font w:name="Century Gothic">
    <w:charset w:val="01"/>
    <w:family w:val="roman"/>
    <w:pitch w:val="default"/>
  </w:font>
  <w:font w:name="RobustaTLPro-Regular">
    <w:charset w:val="01"/>
    <w:family w:val="roman"/>
    <w:pitch w:val="default"/>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jene"/>
      <w:ind w:right="360" w:hanging="0"/>
      <w:rPr/>
    </w:pPr>
    <w:r>
      <w:rPr/>
      <mc:AlternateContent>
        <mc:Choice Requires="wps">
          <w:drawing>
            <wp:anchor behindDoc="0" distT="0" distB="0" distL="0" distR="0" simplePos="0" locked="0" layoutInCell="0" allowOverlap="1" relativeHeight="2" wp14:anchorId="6E1CE95E">
              <wp:simplePos x="0" y="0"/>
              <wp:positionH relativeFrom="margin">
                <wp:align>right</wp:align>
              </wp:positionH>
              <wp:positionV relativeFrom="paragraph">
                <wp:posOffset>635</wp:posOffset>
              </wp:positionV>
              <wp:extent cx="14605" cy="14605"/>
              <wp:effectExtent l="0" t="0" r="0" b="0"/>
              <wp:wrapSquare wrapText="bothSides"/>
              <wp:docPr id="1" name="Ietvars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Kjene"/>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Ietvars1" path="m0,0l-2147483645,0l-2147483645,-2147483646l0,-2147483646xe" stroked="f" o:allowincell="f" style="position:absolute;margin-left:0pt;margin-top:0.05pt;width:1.1pt;height:1.1pt;mso-wrap-style:square;v-text-anchor:top;mso-position-horizontal:right;mso-position-horizontal-relative:margin" wp14:anchorId="6E1CE95E">
              <v:fill o:detectmouseclick="t" on="false"/>
              <v:stroke color="#3465a4" joinstyle="round" endcap="flat"/>
              <v:textbox>
                <w:txbxContent>
                  <w:p>
                    <w:pPr>
                      <w:pStyle w:val="Kjene"/>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jene"/>
      <w:ind w:right="360" w:hanging="0"/>
      <w:rPr>
        <w:i/>
        <w:i/>
        <w:color w:val="808080"/>
      </w:rPr>
    </w:pPr>
    <w:r>
      <w:rPr>
        <w:i/>
        <w:color w:val="80808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jene"/>
      <w:ind w:right="360" w:hanging="0"/>
      <w:rPr>
        <w:i/>
        <w:i/>
        <w:color w:val="808080"/>
      </w:rPr>
    </w:pPr>
    <w:r>
      <w:rPr>
        <w:i/>
        <w:color w:val="80808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jene"/>
      <w:ind w:right="360" w:hanging="0"/>
      <w:rPr>
        <w:i/>
        <w:i/>
        <w:color w:val="808080"/>
      </w:rPr>
    </w:pPr>
    <w:r>
      <w:rPr>
        <w:i/>
        <w:color w:val="808080"/>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jene"/>
      <w:ind w:right="360" w:hanging="0"/>
      <w:rPr>
        <w:i/>
        <w:i/>
        <w:color w:val="808080"/>
      </w:rPr>
    </w:pPr>
    <w:r>
      <w:rPr>
        <w:i/>
        <w:color w:val="808080"/>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Vresteksts1"/>
        <w:widowControl w:val="false"/>
        <w:rPr>
          <w:rFonts w:ascii="Times New Roman" w:hAnsi="Times New Roman" w:cs="Times New Roman"/>
        </w:rPr>
      </w:pPr>
      <w:r>
        <w:rPr>
          <w:rStyle w:val="Vresrakstzmes"/>
        </w:rPr>
        <w:footnoteRef/>
      </w:r>
      <w:r>
        <w:rPr>
          <w:rStyle w:val="Noklusjumarindkopasfonts2"/>
          <w:rFonts w:cs="Times New Roman" w:ascii="Times New Roman" w:hAnsi="Times New Roman"/>
          <w:sz w:val="18"/>
          <w:szCs w:val="18"/>
        </w:rPr>
        <w:t xml:space="preserve"> </w:t>
      </w:r>
      <w:r>
        <w:rPr>
          <w:rStyle w:val="Noklusjumarindkopasfonts2"/>
          <w:rFonts w:cs="Times New Roman" w:ascii="Times New Roman" w:hAnsi="Times New Roman"/>
          <w:sz w:val="18"/>
          <w:szCs w:val="18"/>
        </w:rPr>
        <w:t>Šī apliecinājuma kontekstā ar terminu „konkurents” apzīmē jebkuru fizisku vai juridisku personu, kura nav Pretendents un kura:</w:t>
      </w:r>
    </w:p>
    <w:p>
      <w:pPr>
        <w:pStyle w:val="Vresteksts1"/>
        <w:widowControl w:val="false"/>
        <w:ind w:left="284" w:hanging="339"/>
        <w:rPr>
          <w:rFonts w:ascii="Times New Roman" w:hAnsi="Times New Roman" w:cs="Times New Roman"/>
        </w:rPr>
      </w:pPr>
      <w:r>
        <w:rPr>
          <w:rFonts w:cs="Times New Roman" w:ascii="Times New Roman" w:hAnsi="Times New Roman"/>
          <w:sz w:val="18"/>
          <w:szCs w:val="18"/>
        </w:rPr>
        <w:t>1) iesniedz piedāvājumu šim iepirkumam;</w:t>
      </w:r>
    </w:p>
    <w:p>
      <w:pPr>
        <w:pStyle w:val="Vresteksts1"/>
        <w:widowControl w:val="false"/>
        <w:ind w:left="284" w:hanging="339"/>
        <w:rPr/>
      </w:pPr>
      <w:r>
        <w:rPr>
          <w:rFonts w:cs="Times New Roman" w:ascii="Times New Roman" w:hAnsi="Times New Roman"/>
          <w:sz w:val="18"/>
          <w:szCs w:val="18"/>
        </w:rPr>
        <w:t>2) ņemot vērā tās kvalifikāciju, spējas vai pieredzi, kā arī piedāvātās preces vai pakalpojumus, varētu iesniegt piedāvājumu šim iepirkumam.</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53785068"/>
    </w:sdtPr>
    <w:sdtContent>
      <w:p>
        <w:pPr>
          <w:pStyle w:val="Galvene"/>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15</w:t>
        </w:r>
        <w:r>
          <w:rPr>
            <w:sz w:val="24"/>
            <w:szCs w:val="24"/>
          </w:rPr>
          <w:fldChar w:fldCharType="end"/>
        </w:r>
      </w:p>
      <w:p>
        <w:pPr>
          <w:pStyle w:val="Galvene"/>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230493534"/>
    </w:sdtPr>
    <w:sdtContent>
      <w:p>
        <w:pPr>
          <w:pStyle w:val="Galvene"/>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18</w:t>
        </w:r>
        <w:r>
          <w:rPr>
            <w:sz w:val="24"/>
            <w:szCs w:val="24"/>
          </w:rPr>
          <w:fldChar w:fldCharType="end"/>
        </w:r>
      </w:p>
      <w:p>
        <w:pPr>
          <w:pStyle w:val="Galvene"/>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388236489"/>
    </w:sdtPr>
    <w:sdtContent>
      <w:p>
        <w:pPr>
          <w:pStyle w:val="Galvene"/>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26</w:t>
        </w:r>
        <w:r>
          <w:rPr>
            <w:sz w:val="24"/>
            <w:szCs w:val="24"/>
          </w:rPr>
          <w:fldChar w:fldCharType="end"/>
        </w:r>
      </w:p>
      <w:p>
        <w:pPr>
          <w:pStyle w:val="Galvene"/>
          <w:rPr/>
        </w:pPr>
        <w:r>
          <w:rPr/>
        </w:r>
      </w:p>
    </w:sdtContent>
  </w:sdt>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559841821"/>
    </w:sdtPr>
    <w:sdtContent>
      <w:p>
        <w:pPr>
          <w:pStyle w:val="Galvene"/>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29</w:t>
        </w:r>
        <w:r>
          <w:rPr>
            <w:sz w:val="24"/>
            <w:szCs w:val="24"/>
          </w:rPr>
          <w:fldChar w:fldCharType="end"/>
        </w:r>
      </w:p>
      <w:p>
        <w:pPr>
          <w:pStyle w:val="Galvene"/>
          <w:rPr/>
        </w:pPr>
        <w:r>
          <w:rPr/>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sz w:val="28"/>
        <w:i w:val="false"/>
        <w:b w:val="false"/>
      </w:rPr>
    </w:lvl>
    <w:lvl w:ilvl="2">
      <w:start w:val="1"/>
      <w:numFmt w:val="decimal"/>
      <w:lvlText w:val="%1.%2.%3."/>
      <w:lvlJc w:val="left"/>
      <w:pPr>
        <w:tabs>
          <w:tab w:val="num" w:pos="1077"/>
        </w:tabs>
        <w:ind w:left="1077" w:hanging="793"/>
      </w:pPr>
      <w:rPr/>
    </w:lvl>
    <w:lvl w:ilvl="3">
      <w:start w:val="1"/>
      <w:numFmt w:val="decimal"/>
      <w:lvlText w:val="%1.%2.%3.%4."/>
      <w:lvlJc w:val="left"/>
      <w:pPr>
        <w:tabs>
          <w:tab w:val="num" w:pos="1590"/>
        </w:tabs>
        <w:ind w:left="1077" w:hanging="567"/>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4680"/>
        </w:tabs>
        <w:ind w:left="4320" w:hanging="1440"/>
      </w:pPr>
      <w:rPr/>
    </w:lvl>
  </w:abstractNum>
  <w:abstractNum w:abstractNumId="2">
    <w:lvl w:ilvl="0">
      <w:start w:val="1"/>
      <w:numFmt w:val="upperRoman"/>
      <w:lvlText w:val="%1."/>
      <w:lvlJc w:val="left"/>
      <w:pPr>
        <w:tabs>
          <w:tab w:val="num" w:pos="1456"/>
        </w:tabs>
        <w:ind w:left="1456" w:hanging="180"/>
      </w:pPr>
      <w:rPr>
        <w:b/>
      </w:rPr>
    </w:lvl>
    <w:lvl w:ilvl="1">
      <w:start w:val="1"/>
      <w:numFmt w:val="decimal"/>
      <w:lvlText w:val="%1.%2."/>
      <w:lvlJc w:val="left"/>
      <w:pPr>
        <w:tabs>
          <w:tab w:val="num" w:pos="1996"/>
        </w:tabs>
        <w:ind w:left="1996" w:hanging="720"/>
      </w:pPr>
      <w:rPr>
        <w:sz w:val="24"/>
        <w:b w:val="false"/>
        <w:szCs w:val="24"/>
        <w:rFonts w:ascii="Times New Roman" w:hAnsi="Times New Roman" w:eastAsia="Times New Roman" w:cs="Times New Roman"/>
        <w:color w:val="auto"/>
      </w:rPr>
    </w:lvl>
    <w:lvl w:ilvl="2">
      <w:start w:val="1"/>
      <w:numFmt w:val="decimal"/>
      <w:lvlText w:val="%3.%2.%3%%%%%%%%."/>
      <w:lvlJc w:val="left"/>
      <w:pPr>
        <w:tabs>
          <w:tab w:val="num" w:pos="1996"/>
        </w:tabs>
        <w:ind w:left="1996" w:hanging="720"/>
      </w:pPr>
      <w:r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rPr/>
    </w:lvl>
    <w:lvl w:ilvl="7">
      <w:start w:val="1"/>
      <w:numFmt w:val="decimal"/>
      <w:lvlText w:val="%1.%2.%3.%4.%5.%6.%7.%8."/>
      <w:lvlJc w:val="left"/>
      <w:pPr>
        <w:tabs>
          <w:tab w:val="num" w:pos="3076"/>
        </w:tabs>
        <w:ind w:left="3076" w:hanging="1800"/>
      </w:pPr>
      <w:rPr/>
    </w:lvl>
    <w:lvl w:ilvl="8">
      <w:start w:val="1"/>
      <w:numFmt w:val="decimal"/>
      <w:lvlText w:val="%1.%2.%3.%4.%5.%6.%7.%8.%9."/>
      <w:lvlJc w:val="left"/>
      <w:pPr>
        <w:tabs>
          <w:tab w:val="num" w:pos="3076"/>
        </w:tabs>
        <w:ind w:left="3076" w:hanging="1800"/>
      </w:pPr>
      <w:rPr/>
    </w:lvl>
  </w:abstractNum>
  <w:abstractNum w:abstractNumId="3">
    <w:lvl w:ilvl="0">
      <w:start w:val="1"/>
      <w:numFmt w:val="decimal"/>
      <w:suff w:val="space"/>
      <w:lvlText w:val="Chapter %1"/>
      <w:lvlJc w:val="left"/>
      <w:pPr>
        <w:tabs>
          <w:tab w:val="num" w:pos="0"/>
        </w:tabs>
        <w:ind w:left="2269" w:hanging="0"/>
      </w:pPr>
      <w:rPr/>
    </w:lvl>
    <w:lvl w:ilvl="1">
      <w:start w:val="1"/>
      <w:numFmt w:val="none"/>
      <w:suff w:val="nothing"/>
      <w:lvlText w:val=""/>
      <w:lvlJc w:val="left"/>
      <w:pPr>
        <w:tabs>
          <w:tab w:val="num" w:pos="0"/>
        </w:tabs>
        <w:ind w:left="2269" w:hanging="0"/>
      </w:pPr>
      <w:rPr/>
    </w:lvl>
    <w:lvl w:ilvl="2">
      <w:start w:val="1"/>
      <w:numFmt w:val="none"/>
      <w:suff w:val="nothing"/>
      <w:lvlText w:val=""/>
      <w:lvlJc w:val="left"/>
      <w:pPr>
        <w:tabs>
          <w:tab w:val="num" w:pos="0"/>
        </w:tabs>
        <w:ind w:left="2269" w:hanging="0"/>
      </w:pPr>
      <w:rPr/>
    </w:lvl>
    <w:lvl w:ilvl="3">
      <w:start w:val="1"/>
      <w:numFmt w:val="none"/>
      <w:suff w:val="nothing"/>
      <w:lvlText w:val=""/>
      <w:lvlJc w:val="left"/>
      <w:pPr>
        <w:tabs>
          <w:tab w:val="num" w:pos="0"/>
        </w:tabs>
        <w:ind w:left="2269" w:hanging="0"/>
      </w:pPr>
      <w:rPr>
        <w:b/>
        <w:color w:val="auto"/>
      </w:rPr>
    </w:lvl>
    <w:lvl w:ilvl="4">
      <w:start w:val="1"/>
      <w:numFmt w:val="none"/>
      <w:suff w:val="nothing"/>
      <w:lvlText w:val=""/>
      <w:lvlJc w:val="left"/>
      <w:pPr>
        <w:tabs>
          <w:tab w:val="num" w:pos="0"/>
        </w:tabs>
        <w:ind w:left="2269" w:hanging="0"/>
      </w:pPr>
      <w:rPr/>
    </w:lvl>
    <w:lvl w:ilvl="5">
      <w:start w:val="1"/>
      <w:numFmt w:val="none"/>
      <w:suff w:val="nothing"/>
      <w:lvlText w:val=""/>
      <w:lvlJc w:val="left"/>
      <w:pPr>
        <w:tabs>
          <w:tab w:val="num" w:pos="0"/>
        </w:tabs>
        <w:ind w:left="2269" w:hanging="0"/>
      </w:pPr>
      <w:rPr/>
    </w:lvl>
    <w:lvl w:ilvl="6">
      <w:start w:val="1"/>
      <w:numFmt w:val="none"/>
      <w:suff w:val="nothing"/>
      <w:lvlText w:val=""/>
      <w:lvlJc w:val="left"/>
      <w:pPr>
        <w:tabs>
          <w:tab w:val="num" w:pos="0"/>
        </w:tabs>
        <w:ind w:left="2269" w:hanging="0"/>
      </w:pPr>
      <w:rPr/>
    </w:lvl>
    <w:lvl w:ilvl="7">
      <w:start w:val="1"/>
      <w:numFmt w:val="none"/>
      <w:suff w:val="nothing"/>
      <w:lvlText w:val=""/>
      <w:lvlJc w:val="left"/>
      <w:pPr>
        <w:tabs>
          <w:tab w:val="num" w:pos="0"/>
        </w:tabs>
        <w:ind w:left="2269" w:hanging="0"/>
      </w:pPr>
      <w:rPr/>
    </w:lvl>
    <w:lvl w:ilvl="8">
      <w:start w:val="1"/>
      <w:numFmt w:val="none"/>
      <w:suff w:val="nothing"/>
      <w:lvlText w:val=""/>
      <w:lvlJc w:val="left"/>
      <w:pPr>
        <w:tabs>
          <w:tab w:val="num" w:pos="0"/>
        </w:tabs>
        <w:ind w:left="2269" w:hanging="0"/>
      </w:pPr>
      <w:rPr/>
    </w:lvl>
  </w:abstractNum>
  <w:abstractNum w:abstractNumId="4">
    <w:lvl w:ilvl="0">
      <w:start w:val="2"/>
      <w:numFmt w:val="decimal"/>
      <w:lvlText w:val="%1."/>
      <w:lvlJc w:val="left"/>
      <w:pPr>
        <w:tabs>
          <w:tab w:val="num" w:pos="555"/>
        </w:tabs>
        <w:ind w:left="555" w:hanging="555"/>
      </w:pPr>
      <w:rPr/>
    </w:lvl>
    <w:lvl w:ilvl="1">
      <w:start w:val="1"/>
      <w:numFmt w:val="decimal"/>
      <w:lvlText w:val="%1.%2."/>
      <w:lvlJc w:val="left"/>
      <w:pPr>
        <w:tabs>
          <w:tab w:val="num" w:pos="1440"/>
        </w:tabs>
        <w:ind w:left="1440" w:hanging="720"/>
      </w:pPr>
      <w:rPr>
        <w:b w:val="false"/>
        <w:color w:val="auto"/>
      </w:rPr>
    </w:lvl>
    <w:lvl w:ilvl="2">
      <w:start w:val="1"/>
      <w:numFmt w:val="decimal"/>
      <w:lvlText w:val="%1.%2.%3."/>
      <w:lvlJc w:val="left"/>
      <w:pPr>
        <w:tabs>
          <w:tab w:val="num" w:pos="2160"/>
        </w:tabs>
        <w:ind w:left="2160" w:hanging="720"/>
      </w:pPr>
      <w:rPr>
        <w:b/>
        <w:color w:val="auto"/>
      </w:rPr>
    </w:lvl>
    <w:lvl w:ilvl="3">
      <w:start w:val="1"/>
      <w:numFmt w:val="bullet"/>
      <w:lvlText w:val=""/>
      <w:lvlJc w:val="left"/>
      <w:pPr>
        <w:tabs>
          <w:tab w:val="num" w:pos="3240"/>
        </w:tabs>
        <w:ind w:left="3240" w:hanging="1080"/>
      </w:pPr>
      <w:rPr>
        <w:rFonts w:ascii="Symbol" w:hAnsi="Symbol" w:cs="Symbol" w:hint="default"/>
        <w:b/>
      </w:rPr>
    </w:lvl>
    <w:lvl w:ilvl="4">
      <w:start w:val="1"/>
      <w:numFmt w:val="decimal"/>
      <w:lvlText w:val="%1.%2.%3.%4.%5."/>
      <w:lvlJc w:val="left"/>
      <w:pPr>
        <w:tabs>
          <w:tab w:val="num" w:pos="3960"/>
        </w:tabs>
        <w:ind w:left="3960" w:hanging="1080"/>
      </w:pPr>
      <w:rPr/>
    </w:lvl>
    <w:lvl w:ilvl="5">
      <w:start w:val="1"/>
      <w:numFmt w:val="decimal"/>
      <w:lvlText w:val="%1.%2.%3.%4.%5.%6."/>
      <w:lvlJc w:val="left"/>
      <w:pPr>
        <w:tabs>
          <w:tab w:val="num" w:pos="5040"/>
        </w:tabs>
        <w:ind w:left="5040" w:hanging="1440"/>
      </w:pPr>
      <w:rPr/>
    </w:lvl>
    <w:lvl w:ilvl="6">
      <w:start w:val="1"/>
      <w:numFmt w:val="decimal"/>
      <w:lvlText w:val="%1.%2.%3.%4.%5.%6.%7."/>
      <w:lvlJc w:val="left"/>
      <w:pPr>
        <w:tabs>
          <w:tab w:val="num" w:pos="5760"/>
        </w:tabs>
        <w:ind w:left="5760" w:hanging="1440"/>
      </w:pPr>
      <w:rPr/>
    </w:lvl>
    <w:lvl w:ilvl="7">
      <w:start w:val="1"/>
      <w:numFmt w:val="decimal"/>
      <w:lvlText w:val="%1.%2.%3.%4.%5.%6.%7.%8."/>
      <w:lvlJc w:val="left"/>
      <w:pPr>
        <w:tabs>
          <w:tab w:val="num" w:pos="6840"/>
        </w:tabs>
        <w:ind w:left="6840" w:hanging="1800"/>
      </w:pPr>
      <w:rPr/>
    </w:lvl>
    <w:lvl w:ilvl="8">
      <w:start w:val="1"/>
      <w:numFmt w:val="decimal"/>
      <w:lvlText w:val="%1.%2.%3.%4.%5.%6.%7.%8.%9."/>
      <w:lvlJc w:val="left"/>
      <w:pPr>
        <w:tabs>
          <w:tab w:val="num" w:pos="7560"/>
        </w:tabs>
        <w:ind w:left="7560" w:hanging="1800"/>
      </w:pPr>
      <w:rPr/>
    </w:lvl>
  </w:abstractNum>
  <w:abstractNum w:abstractNumId="5">
    <w:lvl w:ilvl="0">
      <w:start w:val="1"/>
      <w:numFmt w:val="decimal"/>
      <w:lvlText w:val="%1."/>
      <w:lvlJc w:val="left"/>
      <w:pPr>
        <w:tabs>
          <w:tab w:val="num" w:pos="720"/>
        </w:tabs>
        <w:ind w:left="720" w:hanging="720"/>
      </w:pPr>
      <w:rPr>
        <w:color w:val="000000" w:themeColor="text1"/>
      </w:rPr>
    </w:lvl>
    <w:lvl w:ilvl="1">
      <w:start w:val="1"/>
      <w:numFmt w:val="decimal"/>
      <w:lvlText w:val="%1.%2."/>
      <w:lvlJc w:val="left"/>
      <w:pPr>
        <w:tabs>
          <w:tab w:val="num" w:pos="720"/>
        </w:tabs>
        <w:ind w:left="720" w:hanging="720"/>
      </w:pPr>
      <w:rPr>
        <w:i w:val="false"/>
        <w:b w:val="false"/>
        <w:iCs w:val="false"/>
        <w:color w:val="auto"/>
      </w:rPr>
    </w:lvl>
    <w:lvl w:ilvl="2">
      <w:start w:val="1"/>
      <w:numFmt w:val="decimal"/>
      <w:lvlText w:val="%1.%2.%3."/>
      <w:lvlJc w:val="left"/>
      <w:pPr>
        <w:tabs>
          <w:tab w:val="num" w:pos="720"/>
        </w:tabs>
        <w:ind w:left="720" w:hanging="720"/>
      </w:pPr>
      <w:rPr>
        <w:b/>
        <w:color w:val="auto"/>
      </w:rPr>
    </w:lvl>
    <w:lvl w:ilvl="3">
      <w:start w:val="1"/>
      <w:numFmt w:val="decimal"/>
      <w:lvlText w:val="%1.%2.%3.%4."/>
      <w:lvlJc w:val="left"/>
      <w:pPr>
        <w:tabs>
          <w:tab w:val="num" w:pos="1080"/>
        </w:tabs>
        <w:ind w:left="1080" w:hanging="1080"/>
      </w:pPr>
      <w:rPr>
        <w:color w:val="3366FF"/>
      </w:rPr>
    </w:lvl>
    <w:lvl w:ilvl="4">
      <w:start w:val="1"/>
      <w:numFmt w:val="decimal"/>
      <w:lvlText w:val="%1.%2.%3.%4.%5."/>
      <w:lvlJc w:val="left"/>
      <w:pPr>
        <w:tabs>
          <w:tab w:val="num" w:pos="1080"/>
        </w:tabs>
        <w:ind w:left="1080" w:hanging="1080"/>
      </w:pPr>
      <w:rPr>
        <w:color w:val="3366FF"/>
      </w:rPr>
    </w:lvl>
    <w:lvl w:ilvl="5">
      <w:start w:val="1"/>
      <w:numFmt w:val="decimal"/>
      <w:lvlText w:val="%1.%2.%3.%4.%5.%6."/>
      <w:lvlJc w:val="left"/>
      <w:pPr>
        <w:tabs>
          <w:tab w:val="num" w:pos="1440"/>
        </w:tabs>
        <w:ind w:left="1440" w:hanging="1440"/>
      </w:pPr>
      <w:rPr>
        <w:color w:val="3366FF"/>
      </w:rPr>
    </w:lvl>
    <w:lvl w:ilvl="6">
      <w:start w:val="1"/>
      <w:numFmt w:val="decimal"/>
      <w:lvlText w:val="%1.%2.%3.%4.%5.%6.%7."/>
      <w:lvlJc w:val="left"/>
      <w:pPr>
        <w:tabs>
          <w:tab w:val="num" w:pos="1440"/>
        </w:tabs>
        <w:ind w:left="1440" w:hanging="1440"/>
      </w:pPr>
      <w:rPr>
        <w:color w:val="3366FF"/>
      </w:rPr>
    </w:lvl>
    <w:lvl w:ilvl="7">
      <w:start w:val="1"/>
      <w:numFmt w:val="decimal"/>
      <w:lvlText w:val="%1.%2.%3.%4.%5.%6.%7.%8."/>
      <w:lvlJc w:val="left"/>
      <w:pPr>
        <w:tabs>
          <w:tab w:val="num" w:pos="1800"/>
        </w:tabs>
        <w:ind w:left="1800" w:hanging="1800"/>
      </w:pPr>
      <w:rPr>
        <w:color w:val="3366FF"/>
      </w:rPr>
    </w:lvl>
    <w:lvl w:ilvl="8">
      <w:start w:val="1"/>
      <w:numFmt w:val="decimal"/>
      <w:lvlText w:val="%1.%2.%3.%4.%5.%6.%7.%8.%9."/>
      <w:lvlJc w:val="left"/>
      <w:pPr>
        <w:tabs>
          <w:tab w:val="num" w:pos="1800"/>
        </w:tabs>
        <w:ind w:left="1800" w:hanging="1800"/>
      </w:pPr>
      <w:rPr>
        <w:color w:val="3366FF"/>
      </w:rPr>
    </w:lvl>
  </w:abstractNum>
  <w:abstractNum w:abstractNumId="6">
    <w:lvl w:ilvl="0">
      <w:start w:val="5"/>
      <w:numFmt w:val="none"/>
      <w:suff w:val="nothing"/>
      <w:lvlText w:val="1."/>
      <w:lvlJc w:val="left"/>
      <w:pPr>
        <w:tabs>
          <w:tab w:val="num" w:pos="0"/>
        </w:tabs>
        <w:ind w:left="720" w:hanging="720"/>
      </w:pPr>
      <w:rPr/>
    </w:lvl>
    <w:lvl w:ilvl="1">
      <w:start w:val="1"/>
      <w:numFmt w:val="decimal"/>
      <w:lvlText w:val="%1.%2."/>
      <w:lvlJc w:val="left"/>
      <w:pPr>
        <w:tabs>
          <w:tab w:val="num" w:pos="720"/>
        </w:tabs>
        <w:ind w:left="720" w:hanging="720"/>
      </w:pPr>
      <w:rPr>
        <w:rFonts w:ascii="Times New Roman" w:hAnsi="Times New Roman" w:eastAsia="Times New Roman" w:cs="Times New Roman"/>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abstractNum>
  <w:abstractNum w:abstractNumId="7">
    <w:lvl w:ilvl="0">
      <w:start w:val="1"/>
      <w:numFmt w:val="decimal"/>
      <w:lvlText w:val="%1."/>
      <w:lvlJc w:val="left"/>
      <w:pPr>
        <w:tabs>
          <w:tab w:val="num" w:pos="360"/>
        </w:tabs>
        <w:ind w:left="360" w:hanging="360"/>
      </w:pPr>
      <w:rPr/>
    </w:lvl>
    <w:lvl w:ilvl="1">
      <w:start w:val="1"/>
      <w:numFmt w:val="decimal"/>
      <w:lvlText w:val="%1.%2."/>
      <w:lvlJc w:val="left"/>
      <w:pPr>
        <w:tabs>
          <w:tab w:val="num" w:pos="720"/>
        </w:tabs>
        <w:ind w:left="720" w:hanging="720"/>
      </w:pPr>
      <w:rPr/>
    </w:lvl>
    <w:lvl w:ilvl="2">
      <w:start w:val="1"/>
      <w:numFmt w:val="decimal"/>
      <w:lvlText w:val="%1.%2.%3."/>
      <w:lvlJc w:val="left"/>
      <w:pPr>
        <w:tabs>
          <w:tab w:val="num" w:pos="720"/>
        </w:tabs>
        <w:ind w:left="720" w:hanging="720"/>
      </w:pPr>
      <w:rPr/>
    </w:lvl>
    <w:lvl w:ilvl="3">
      <w:start w:val="1"/>
      <w:numFmt w:val="decimal"/>
      <w:lvlText w:val="%1.%2.%3.%4."/>
      <w:lvlJc w:val="left"/>
      <w:pPr>
        <w:tabs>
          <w:tab w:val="num" w:pos="1080"/>
        </w:tabs>
        <w:ind w:left="1080" w:hanging="108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440"/>
        </w:tabs>
        <w:ind w:left="1440" w:hanging="1440"/>
      </w:pPr>
      <w:rPr/>
    </w:lvl>
    <w:lvl w:ilvl="6">
      <w:start w:val="1"/>
      <w:numFmt w:val="decimal"/>
      <w:lvlText w:val="%1.%2.%3.%4.%5.%6.%7."/>
      <w:lvlJc w:val="left"/>
      <w:pPr>
        <w:tabs>
          <w:tab w:val="num" w:pos="1800"/>
        </w:tabs>
        <w:ind w:left="1800" w:hanging="1800"/>
      </w:pPr>
      <w:rPr/>
    </w:lvl>
    <w:lvl w:ilvl="7">
      <w:start w:val="1"/>
      <w:numFmt w:val="decimal"/>
      <w:lvlText w:val="%1.%2.%3.%4.%5.%6.%7.%8."/>
      <w:lvlJc w:val="left"/>
      <w:pPr>
        <w:tabs>
          <w:tab w:val="num" w:pos="1800"/>
        </w:tabs>
        <w:ind w:left="1800" w:hanging="1800"/>
      </w:pPr>
      <w:rPr/>
    </w:lvl>
    <w:lvl w:ilvl="8">
      <w:start w:val="1"/>
      <w:numFmt w:val="decimal"/>
      <w:lvlText w:val="%1.%2.%3.%4.%5.%6.%7.%8.%9."/>
      <w:lvlJc w:val="left"/>
      <w:pPr>
        <w:tabs>
          <w:tab w:val="num" w:pos="2160"/>
        </w:tabs>
        <w:ind w:left="2160" w:hanging="2160"/>
      </w:pPr>
      <w:rPr/>
    </w:lvl>
  </w:abstractNum>
  <w:abstractNum w:abstractNumId="8">
    <w:lvl w:ilvl="0">
      <w:start w:val="12"/>
      <w:numFmt w:val="upperRoman"/>
      <w:lvlText w:val="%1."/>
      <w:lvlJc w:val="right"/>
      <w:pPr>
        <w:tabs>
          <w:tab w:val="num" w:pos="1456"/>
        </w:tabs>
        <w:ind w:left="1456" w:hanging="180"/>
      </w:pPr>
      <w:rPr>
        <w:b/>
      </w:rPr>
    </w:lvl>
    <w:lvl w:ilvl="1">
      <w:start w:val="1"/>
      <w:numFmt w:val="decimal"/>
      <w:lvlText w:val="%1.%2."/>
      <w:lvlJc w:val="left"/>
      <w:pPr>
        <w:tabs>
          <w:tab w:val="num" w:pos="1996"/>
        </w:tabs>
        <w:ind w:left="1996" w:hanging="720"/>
      </w:pPr>
      <w:rPr>
        <w:sz w:val="24"/>
        <w:b w:val="false"/>
        <w:szCs w:val="24"/>
        <w:rFonts w:ascii="Times New Roman" w:hAnsi="Times New Roman" w:eastAsia="Times New Roman" w:cs="Times New Roman"/>
        <w:color w:val="auto"/>
      </w:rPr>
    </w:lvl>
    <w:lvl w:ilvl="2">
      <w:start w:val="1"/>
      <w:numFmt w:val="decimal"/>
      <w:lvlText w:val="%3.%2.%3%%%%%%%%."/>
      <w:lvlJc w:val="left"/>
      <w:pPr>
        <w:tabs>
          <w:tab w:val="num" w:pos="1996"/>
        </w:tabs>
        <w:ind w:left="1996" w:hanging="720"/>
      </w:pPr>
      <w:r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rPr/>
    </w:lvl>
    <w:lvl w:ilvl="7">
      <w:start w:val="1"/>
      <w:numFmt w:val="decimal"/>
      <w:lvlText w:val="%1.%2.%3.%4.%5.%6.%7.%8."/>
      <w:lvlJc w:val="left"/>
      <w:pPr>
        <w:tabs>
          <w:tab w:val="num" w:pos="3076"/>
        </w:tabs>
        <w:ind w:left="3076" w:hanging="1800"/>
      </w:pPr>
      <w:rPr/>
    </w:lvl>
    <w:lvl w:ilvl="8">
      <w:start w:val="1"/>
      <w:numFmt w:val="decimal"/>
      <w:lvlText w:val="%1.%2.%3.%4.%5.%6.%7.%8.%9."/>
      <w:lvlJc w:val="left"/>
      <w:pPr>
        <w:tabs>
          <w:tab w:val="num" w:pos="3076"/>
        </w:tabs>
        <w:ind w:left="3076" w:hanging="1800"/>
      </w:pPr>
      <w:rPr/>
    </w:lvl>
  </w:abstractNum>
  <w:abstractNum w:abstractNumId="9">
    <w:lvl w:ilvl="0">
      <w:start w:val="7"/>
      <w:numFmt w:val="upperRoman"/>
      <w:lvlText w:val="%1."/>
      <w:lvlJc w:val="left"/>
      <w:pPr>
        <w:tabs>
          <w:tab w:val="num" w:pos="1456"/>
        </w:tabs>
        <w:ind w:left="1457" w:hanging="181"/>
      </w:pPr>
      <w:rPr>
        <w:b/>
      </w:rPr>
    </w:lvl>
    <w:lvl w:ilvl="1">
      <w:start w:val="2"/>
      <w:numFmt w:val="decimal"/>
      <w:lvlText w:val="%1.%2."/>
      <w:lvlJc w:val="left"/>
      <w:pPr>
        <w:tabs>
          <w:tab w:val="num" w:pos="1456"/>
        </w:tabs>
        <w:ind w:left="1457" w:hanging="181"/>
      </w:pPr>
      <w:rPr>
        <w:sz w:val="20"/>
        <w:b/>
        <w:szCs w:val="20"/>
        <w:rFonts w:ascii="Arial" w:hAnsi="Arial" w:eastAsia="Times New Roman" w:cs="Arial"/>
        <w:color w:val="auto"/>
      </w:rPr>
    </w:lvl>
    <w:lvl w:ilvl="2">
      <w:start w:val="6"/>
      <w:numFmt w:val="decimal"/>
      <w:lvlText w:val="%3.%2.3."/>
      <w:lvlJc w:val="left"/>
      <w:pPr>
        <w:tabs>
          <w:tab w:val="num" w:pos="1456"/>
        </w:tabs>
        <w:ind w:left="1457" w:hanging="181"/>
      </w:pPr>
      <w:rPr>
        <w:b/>
        <w:color w:val="auto"/>
      </w:rPr>
    </w:lvl>
    <w:lvl w:ilvl="3">
      <w:start w:val="1"/>
      <w:numFmt w:val="bullet"/>
      <w:lvlText w:val=""/>
      <w:lvlJc w:val="left"/>
      <w:pPr>
        <w:tabs>
          <w:tab w:val="num" w:pos="1456"/>
        </w:tabs>
        <w:ind w:left="1457" w:hanging="181"/>
      </w:pPr>
      <w:rPr>
        <w:rFonts w:ascii="Wingdings" w:hAnsi="Wingdings" w:cs="Wingdings" w:hint="default"/>
        <w:b/>
      </w:rPr>
    </w:lvl>
    <w:lvl w:ilvl="4">
      <w:start w:val="1"/>
      <w:numFmt w:val="decimal"/>
      <w:lvlText w:val="%1.%2.%3.%4.%5."/>
      <w:lvlJc w:val="left"/>
      <w:pPr>
        <w:tabs>
          <w:tab w:val="num" w:pos="1456"/>
        </w:tabs>
        <w:ind w:left="1457" w:hanging="181"/>
      </w:pPr>
      <w:rPr>
        <w:b/>
        <w:color w:val="auto"/>
      </w:rPr>
    </w:lvl>
    <w:lvl w:ilvl="5">
      <w:start w:val="1"/>
      <w:numFmt w:val="decimal"/>
      <w:lvlText w:val="%1.%2.%3.%4.%5.%6."/>
      <w:lvlJc w:val="left"/>
      <w:pPr>
        <w:tabs>
          <w:tab w:val="num" w:pos="1456"/>
        </w:tabs>
        <w:ind w:left="1457" w:hanging="181"/>
      </w:pPr>
      <w:rPr>
        <w:b/>
        <w:color w:val="auto"/>
      </w:rPr>
    </w:lvl>
    <w:lvl w:ilvl="6">
      <w:start w:val="1"/>
      <w:numFmt w:val="decimal"/>
      <w:lvlText w:val="%1.%2.%3.%4.%5.%6.%7."/>
      <w:lvlJc w:val="left"/>
      <w:pPr>
        <w:tabs>
          <w:tab w:val="num" w:pos="1456"/>
        </w:tabs>
        <w:ind w:left="1457" w:hanging="181"/>
      </w:pPr>
      <w:rPr/>
    </w:lvl>
    <w:lvl w:ilvl="7">
      <w:start w:val="1"/>
      <w:numFmt w:val="decimal"/>
      <w:lvlText w:val="%1.%2.%3.%4.%5.%6.%7.%8."/>
      <w:lvlJc w:val="left"/>
      <w:pPr>
        <w:tabs>
          <w:tab w:val="num" w:pos="1456"/>
        </w:tabs>
        <w:ind w:left="1457" w:hanging="181"/>
      </w:pPr>
      <w:rPr/>
    </w:lvl>
    <w:lvl w:ilvl="8">
      <w:start w:val="1"/>
      <w:numFmt w:val="decimal"/>
      <w:lvlText w:val="%1.%2.%3.%4.%5.%6.%7.%8.%9."/>
      <w:lvlJc w:val="left"/>
      <w:pPr>
        <w:tabs>
          <w:tab w:val="num" w:pos="1456"/>
        </w:tabs>
        <w:ind w:left="1457" w:hanging="181"/>
      </w:pPr>
      <w:rPr/>
    </w:lvl>
  </w:abstractNum>
  <w:abstractNum w:abstractNumId="10">
    <w:lvl w:ilvl="0">
      <w:start w:val="6"/>
      <w:numFmt w:val="decimal"/>
      <w:lvlText w:val="%1."/>
      <w:lvlJc w:val="left"/>
      <w:pPr>
        <w:tabs>
          <w:tab w:val="num" w:pos="0"/>
        </w:tabs>
        <w:ind w:left="540" w:hanging="540"/>
      </w:pPr>
      <w:rPr>
        <w:b/>
      </w:rPr>
    </w:lvl>
    <w:lvl w:ilvl="1">
      <w:start w:val="1"/>
      <w:numFmt w:val="decimal"/>
      <w:lvlText w:val="%1.%2."/>
      <w:lvlJc w:val="left"/>
      <w:pPr>
        <w:tabs>
          <w:tab w:val="num" w:pos="0"/>
        </w:tabs>
        <w:ind w:left="540" w:hanging="540"/>
      </w:pPr>
      <w:rPr>
        <w:b w:val="false"/>
      </w:rPr>
    </w:lvl>
    <w:lvl w:ilvl="2">
      <w:start w:val="1"/>
      <w:numFmt w:val="decimal"/>
      <w:lvlText w:val="%1.%2.%3."/>
      <w:lvlJc w:val="left"/>
      <w:pPr>
        <w:tabs>
          <w:tab w:val="num" w:pos="0"/>
        </w:tabs>
        <w:ind w:left="720" w:hanging="720"/>
      </w:pPr>
      <w:rPr>
        <w:b w:val="false"/>
        <w:color w:val="000000" w:themeColor="text1"/>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1">
    <w:lvl w:ilvl="0">
      <w:start w:val="3"/>
      <w:numFmt w:val="decimal"/>
      <w:lvlText w:val="%1."/>
      <w:lvlJc w:val="left"/>
      <w:pPr>
        <w:tabs>
          <w:tab w:val="num" w:pos="0"/>
        </w:tabs>
        <w:ind w:left="540" w:hanging="540"/>
      </w:pPr>
      <w:rPr/>
    </w:lvl>
    <w:lvl w:ilvl="1">
      <w:start w:val="1"/>
      <w:numFmt w:val="decimal"/>
      <w:lvlText w:val="%1.%2."/>
      <w:lvlJc w:val="left"/>
      <w:pPr>
        <w:tabs>
          <w:tab w:val="num" w:pos="0"/>
        </w:tabs>
        <w:ind w:left="894" w:hanging="540"/>
      </w:pPr>
      <w:rPr>
        <w:b w:val="false"/>
      </w:rPr>
    </w:lvl>
    <w:lvl w:ilvl="2">
      <w:start w:val="1"/>
      <w:numFmt w:val="decimal"/>
      <w:lvlText w:val="%1.%2.%3."/>
      <w:lvlJc w:val="left"/>
      <w:pPr>
        <w:tabs>
          <w:tab w:val="num" w:pos="0"/>
        </w:tabs>
        <w:ind w:left="1428" w:hanging="720"/>
      </w:pPr>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496" w:hanging="108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564" w:hanging="144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632" w:hanging="1800"/>
      </w:pPr>
      <w:rPr/>
    </w:lvl>
  </w:abstractNum>
  <w:abstractNum w:abstractNumId="12">
    <w:lvl w:ilvl="0">
      <w:start w:val="12"/>
      <w:numFmt w:val="decimal"/>
      <w:lvlText w:val="%1."/>
      <w:lvlJc w:val="left"/>
      <w:pPr>
        <w:tabs>
          <w:tab w:val="num" w:pos="0"/>
        </w:tabs>
        <w:ind w:left="660" w:hanging="660"/>
      </w:pPr>
      <w:rPr/>
    </w:lvl>
    <w:lvl w:ilvl="1">
      <w:start w:val="4"/>
      <w:numFmt w:val="decimal"/>
      <w:lvlText w:val="%1.%2."/>
      <w:lvlJc w:val="left"/>
      <w:pPr>
        <w:tabs>
          <w:tab w:val="num" w:pos="0"/>
        </w:tabs>
        <w:ind w:left="660" w:hanging="6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3">
    <w:lvl w:ilvl="0">
      <w:start w:val="13"/>
      <w:numFmt w:val="decimal"/>
      <w:lvlText w:val="%1."/>
      <w:lvlJc w:val="left"/>
      <w:pPr>
        <w:tabs>
          <w:tab w:val="num" w:pos="0"/>
        </w:tabs>
        <w:ind w:left="660" w:hanging="660"/>
      </w:pPr>
      <w:rPr>
        <w:b w:val="false"/>
      </w:rPr>
    </w:lvl>
    <w:lvl w:ilvl="1">
      <w:start w:val="1"/>
      <w:numFmt w:val="decimal"/>
      <w:lvlText w:val="%1.%2."/>
      <w:lvlJc w:val="left"/>
      <w:pPr>
        <w:tabs>
          <w:tab w:val="num" w:pos="0"/>
        </w:tabs>
        <w:ind w:left="720" w:hanging="720"/>
      </w:pPr>
      <w:rPr>
        <w:b w:val="false"/>
      </w:rPr>
    </w:lvl>
    <w:lvl w:ilvl="2">
      <w:start w:val="1"/>
      <w:numFmt w:val="decimal"/>
      <w:lvlText w:val="%1.%2.%3."/>
      <w:lvlJc w:val="left"/>
      <w:pPr>
        <w:tabs>
          <w:tab w:val="num" w:pos="0"/>
        </w:tabs>
        <w:ind w:left="720" w:hanging="720"/>
      </w:pPr>
      <w:rPr>
        <w:b w:val="false"/>
        <w:rFonts w:ascii="Times New Roman" w:hAnsi="Times New Roman" w:cs="Times New Roman"/>
      </w:rPr>
    </w:lvl>
    <w:lvl w:ilvl="3">
      <w:start w:val="1"/>
      <w:numFmt w:val="decimal"/>
      <w:lvlText w:val="%1.%2.%3.%4."/>
      <w:lvlJc w:val="left"/>
      <w:pPr>
        <w:tabs>
          <w:tab w:val="num" w:pos="0"/>
        </w:tabs>
        <w:ind w:left="1080" w:hanging="1080"/>
      </w:pPr>
      <w:rPr>
        <w:b w:val="false"/>
      </w:rPr>
    </w:lvl>
    <w:lvl w:ilvl="4">
      <w:start w:val="1"/>
      <w:numFmt w:val="decimal"/>
      <w:lvlText w:val="%1.%2.%3.%4.%5."/>
      <w:lvlJc w:val="left"/>
      <w:pPr>
        <w:tabs>
          <w:tab w:val="num" w:pos="0"/>
        </w:tabs>
        <w:ind w:left="1080" w:hanging="1080"/>
      </w:pPr>
      <w:rPr>
        <w:b w:val="false"/>
      </w:rPr>
    </w:lvl>
    <w:lvl w:ilvl="5">
      <w:start w:val="1"/>
      <w:numFmt w:val="decimal"/>
      <w:lvlText w:val="%1.%2.%3.%4.%5.%6."/>
      <w:lvlJc w:val="left"/>
      <w:pPr>
        <w:tabs>
          <w:tab w:val="num" w:pos="0"/>
        </w:tabs>
        <w:ind w:left="1440" w:hanging="1440"/>
      </w:pPr>
      <w:rPr>
        <w:b w:val="false"/>
      </w:rPr>
    </w:lvl>
    <w:lvl w:ilvl="6">
      <w:start w:val="1"/>
      <w:numFmt w:val="decimal"/>
      <w:lvlText w:val="%1.%2.%3.%4.%5.%6.%7."/>
      <w:lvlJc w:val="left"/>
      <w:pPr>
        <w:tabs>
          <w:tab w:val="num" w:pos="0"/>
        </w:tabs>
        <w:ind w:left="1440" w:hanging="1440"/>
      </w:pPr>
      <w:rPr>
        <w:b w:val="false"/>
      </w:rPr>
    </w:lvl>
    <w:lvl w:ilvl="7">
      <w:start w:val="1"/>
      <w:numFmt w:val="decimal"/>
      <w:lvlText w:val="%1.%2.%3.%4.%5.%6.%7.%8."/>
      <w:lvlJc w:val="left"/>
      <w:pPr>
        <w:tabs>
          <w:tab w:val="num" w:pos="0"/>
        </w:tabs>
        <w:ind w:left="1800" w:hanging="1800"/>
      </w:pPr>
      <w:rPr>
        <w:b w:val="false"/>
      </w:rPr>
    </w:lvl>
    <w:lvl w:ilvl="8">
      <w:start w:val="1"/>
      <w:numFmt w:val="decimal"/>
      <w:lvlText w:val="%1.%2.%3.%4.%5.%6.%7.%8.%9."/>
      <w:lvlJc w:val="left"/>
      <w:pPr>
        <w:tabs>
          <w:tab w:val="num" w:pos="0"/>
        </w:tabs>
        <w:ind w:left="1800" w:hanging="1800"/>
      </w:pPr>
      <w:rPr>
        <w:b w:val="false"/>
      </w:rPr>
    </w:lvl>
  </w:abstractNum>
  <w:abstractNum w:abstractNumId="14">
    <w:lvl w:ilvl="0">
      <w:start w:val="9"/>
      <w:numFmt w:val="decimal"/>
      <w:lvlText w:val="%1."/>
      <w:lvlJc w:val="left"/>
      <w:pPr>
        <w:tabs>
          <w:tab w:val="num" w:pos="0"/>
        </w:tabs>
        <w:ind w:left="540" w:hanging="540"/>
      </w:pPr>
      <w:rPr/>
    </w:lvl>
    <w:lvl w:ilvl="1">
      <w:start w:val="1"/>
      <w:numFmt w:val="decimal"/>
      <w:lvlText w:val="%1.%2."/>
      <w:lvlJc w:val="left"/>
      <w:pPr>
        <w:tabs>
          <w:tab w:val="num" w:pos="0"/>
        </w:tabs>
        <w:ind w:left="753" w:hanging="540"/>
      </w:pPr>
      <w:rPr/>
    </w:lvl>
    <w:lvl w:ilvl="2">
      <w:start w:val="1"/>
      <w:numFmt w:val="decimal"/>
      <w:lvlText w:val="%1.%2.%3."/>
      <w:lvlJc w:val="left"/>
      <w:pPr>
        <w:tabs>
          <w:tab w:val="num" w:pos="0"/>
        </w:tabs>
        <w:ind w:left="1146" w:hanging="720"/>
      </w:pPr>
      <w:rPr>
        <w:b w:val="false"/>
      </w:rPr>
    </w:lvl>
    <w:lvl w:ilvl="3">
      <w:start w:val="1"/>
      <w:numFmt w:val="decimal"/>
      <w:lvlText w:val="%1.%2.%3.%4."/>
      <w:lvlJc w:val="left"/>
      <w:pPr>
        <w:tabs>
          <w:tab w:val="num" w:pos="0"/>
        </w:tabs>
        <w:ind w:left="1359" w:hanging="720"/>
      </w:pPr>
      <w:rPr/>
    </w:lvl>
    <w:lvl w:ilvl="4">
      <w:start w:val="1"/>
      <w:numFmt w:val="decimal"/>
      <w:lvlText w:val="%1.%2.%3.%4.%5."/>
      <w:lvlJc w:val="left"/>
      <w:pPr>
        <w:tabs>
          <w:tab w:val="num" w:pos="0"/>
        </w:tabs>
        <w:ind w:left="1932" w:hanging="1080"/>
      </w:pPr>
      <w:rPr/>
    </w:lvl>
    <w:lvl w:ilvl="5">
      <w:start w:val="1"/>
      <w:numFmt w:val="decimal"/>
      <w:lvlText w:val="%1.%2.%3.%4.%5.%6."/>
      <w:lvlJc w:val="left"/>
      <w:pPr>
        <w:tabs>
          <w:tab w:val="num" w:pos="0"/>
        </w:tabs>
        <w:ind w:left="2145" w:hanging="1080"/>
      </w:pPr>
      <w:rPr/>
    </w:lvl>
    <w:lvl w:ilvl="6">
      <w:start w:val="1"/>
      <w:numFmt w:val="decimal"/>
      <w:lvlText w:val="%1.%2.%3.%4.%5.%6.%7."/>
      <w:lvlJc w:val="left"/>
      <w:pPr>
        <w:tabs>
          <w:tab w:val="num" w:pos="0"/>
        </w:tabs>
        <w:ind w:left="2718" w:hanging="1440"/>
      </w:pPr>
      <w:rPr/>
    </w:lvl>
    <w:lvl w:ilvl="7">
      <w:start w:val="1"/>
      <w:numFmt w:val="decimal"/>
      <w:lvlText w:val="%1.%2.%3.%4.%5.%6.%7.%8."/>
      <w:lvlJc w:val="left"/>
      <w:pPr>
        <w:tabs>
          <w:tab w:val="num" w:pos="0"/>
        </w:tabs>
        <w:ind w:left="2931" w:hanging="1440"/>
      </w:pPr>
      <w:rPr/>
    </w:lvl>
    <w:lvl w:ilvl="8">
      <w:start w:val="1"/>
      <w:numFmt w:val="decimal"/>
      <w:lvlText w:val="%1.%2.%3.%4.%5.%6.%7.%8.%9."/>
      <w:lvlJc w:val="left"/>
      <w:pPr>
        <w:tabs>
          <w:tab w:val="num" w:pos="0"/>
        </w:tabs>
        <w:ind w:left="3504" w:hanging="1800"/>
      </w:pPr>
      <w:rPr/>
    </w:lvl>
  </w:abstractNum>
  <w:abstractNum w:abstractNumId="15">
    <w:lvl w:ilvl="0">
      <w:start w:val="9"/>
      <w:numFmt w:val="decimal"/>
      <w:lvlText w:val="%1."/>
      <w:lvlJc w:val="left"/>
      <w:pPr>
        <w:tabs>
          <w:tab w:val="num" w:pos="0"/>
        </w:tabs>
        <w:ind w:left="540" w:hanging="540"/>
      </w:pPr>
      <w:rPr/>
    </w:lvl>
    <w:lvl w:ilvl="1">
      <w:start w:val="2"/>
      <w:numFmt w:val="decimal"/>
      <w:lvlText w:val="%1.%2."/>
      <w:lvlJc w:val="left"/>
      <w:pPr>
        <w:tabs>
          <w:tab w:val="num" w:pos="0"/>
        </w:tabs>
        <w:ind w:left="823" w:hanging="540"/>
      </w:pPr>
      <w:rPr/>
    </w:lvl>
    <w:lvl w:ilvl="2">
      <w:start w:val="1"/>
      <w:numFmt w:val="decimal"/>
      <w:lvlText w:val="%1.%2.%3."/>
      <w:lvlJc w:val="left"/>
      <w:pPr>
        <w:tabs>
          <w:tab w:val="num" w:pos="0"/>
        </w:tabs>
        <w:ind w:left="1286" w:hanging="720"/>
      </w:pPr>
      <w:rPr>
        <w:b w:val="false"/>
      </w:rPr>
    </w:lvl>
    <w:lvl w:ilvl="3">
      <w:start w:val="1"/>
      <w:numFmt w:val="decimal"/>
      <w:lvlText w:val="%1.%2.%3.%4."/>
      <w:lvlJc w:val="left"/>
      <w:pPr>
        <w:tabs>
          <w:tab w:val="num" w:pos="0"/>
        </w:tabs>
        <w:ind w:left="1569" w:hanging="720"/>
      </w:pPr>
      <w:rPr/>
    </w:lvl>
    <w:lvl w:ilvl="4">
      <w:start w:val="1"/>
      <w:numFmt w:val="decimal"/>
      <w:lvlText w:val="%1.%2.%3.%4.%5."/>
      <w:lvlJc w:val="left"/>
      <w:pPr>
        <w:tabs>
          <w:tab w:val="num" w:pos="0"/>
        </w:tabs>
        <w:ind w:left="2212" w:hanging="1080"/>
      </w:pPr>
      <w:rPr/>
    </w:lvl>
    <w:lvl w:ilvl="5">
      <w:start w:val="1"/>
      <w:numFmt w:val="decimal"/>
      <w:lvlText w:val="%1.%2.%3.%4.%5.%6."/>
      <w:lvlJc w:val="left"/>
      <w:pPr>
        <w:tabs>
          <w:tab w:val="num" w:pos="0"/>
        </w:tabs>
        <w:ind w:left="2495" w:hanging="1080"/>
      </w:pPr>
      <w:rPr/>
    </w:lvl>
    <w:lvl w:ilvl="6">
      <w:start w:val="1"/>
      <w:numFmt w:val="decimal"/>
      <w:lvlText w:val="%1.%2.%3.%4.%5.%6.%7."/>
      <w:lvlJc w:val="left"/>
      <w:pPr>
        <w:tabs>
          <w:tab w:val="num" w:pos="0"/>
        </w:tabs>
        <w:ind w:left="3138" w:hanging="1440"/>
      </w:pPr>
      <w:rPr/>
    </w:lvl>
    <w:lvl w:ilvl="7">
      <w:start w:val="1"/>
      <w:numFmt w:val="decimal"/>
      <w:lvlText w:val="%1.%2.%3.%4.%5.%6.%7.%8."/>
      <w:lvlJc w:val="left"/>
      <w:pPr>
        <w:tabs>
          <w:tab w:val="num" w:pos="0"/>
        </w:tabs>
        <w:ind w:left="3421" w:hanging="1440"/>
      </w:pPr>
      <w:rPr/>
    </w:lvl>
    <w:lvl w:ilvl="8">
      <w:start w:val="1"/>
      <w:numFmt w:val="decimal"/>
      <w:lvlText w:val="%1.%2.%3.%4.%5.%6.%7.%8.%9."/>
      <w:lvlJc w:val="left"/>
      <w:pPr>
        <w:tabs>
          <w:tab w:val="num" w:pos="0"/>
        </w:tabs>
        <w:ind w:left="4064" w:hanging="1800"/>
      </w:pPr>
      <w:rPr/>
    </w:lvl>
  </w:abstractNum>
  <w:abstractNum w:abstractNumId="16">
    <w:lvl w:ilvl="0">
      <w:start w:val="11"/>
      <w:numFmt w:val="decimal"/>
      <w:lvlText w:val="%1."/>
      <w:lvlJc w:val="left"/>
      <w:pPr>
        <w:tabs>
          <w:tab w:val="num" w:pos="0"/>
        </w:tabs>
        <w:ind w:left="660" w:hanging="660"/>
      </w:pPr>
      <w:rPr/>
    </w:lvl>
    <w:lvl w:ilvl="1">
      <w:start w:val="1"/>
      <w:numFmt w:val="decimal"/>
      <w:lvlText w:val="%1.%2."/>
      <w:lvlJc w:val="left"/>
      <w:pPr>
        <w:tabs>
          <w:tab w:val="num" w:pos="0"/>
        </w:tabs>
        <w:ind w:left="1014" w:hanging="660"/>
      </w:pPr>
      <w:rPr/>
    </w:lvl>
    <w:lvl w:ilvl="2">
      <w:start w:val="1"/>
      <w:numFmt w:val="decimal"/>
      <w:lvlText w:val="%1.%2.%3."/>
      <w:lvlJc w:val="left"/>
      <w:pPr>
        <w:tabs>
          <w:tab w:val="num" w:pos="0"/>
        </w:tabs>
        <w:ind w:left="1428" w:hanging="720"/>
      </w:pPr>
      <w:rPr>
        <w:b w:val="false"/>
      </w:rPr>
    </w:lvl>
    <w:lvl w:ilvl="3">
      <w:start w:val="1"/>
      <w:numFmt w:val="decimal"/>
      <w:lvlText w:val="%1.%2.%3.%4."/>
      <w:lvlJc w:val="left"/>
      <w:pPr>
        <w:tabs>
          <w:tab w:val="num" w:pos="0"/>
        </w:tabs>
        <w:ind w:left="1782" w:hanging="720"/>
      </w:pPr>
      <w:rPr>
        <w:b w:val="false"/>
      </w:rPr>
    </w:lvl>
    <w:lvl w:ilvl="4">
      <w:start w:val="1"/>
      <w:numFmt w:val="decimal"/>
      <w:lvlText w:val="%1.%2.%3.%4.%5."/>
      <w:lvlJc w:val="left"/>
      <w:pPr>
        <w:tabs>
          <w:tab w:val="num" w:pos="0"/>
        </w:tabs>
        <w:ind w:left="2496" w:hanging="108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564" w:hanging="144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632" w:hanging="1800"/>
      </w:pPr>
      <w:rPr/>
    </w:lvl>
  </w:abstractNum>
  <w:abstractNum w:abstractNumId="17">
    <w:lvl w:ilvl="0">
      <w:start w:val="11"/>
      <w:numFmt w:val="decimal"/>
      <w:lvlText w:val="%1."/>
      <w:lvlJc w:val="left"/>
      <w:pPr>
        <w:tabs>
          <w:tab w:val="num" w:pos="0"/>
        </w:tabs>
        <w:ind w:left="660" w:hanging="660"/>
      </w:pPr>
      <w:rPr/>
    </w:lvl>
    <w:lvl w:ilvl="1">
      <w:start w:val="2"/>
      <w:numFmt w:val="decimal"/>
      <w:lvlText w:val="%1.%2."/>
      <w:lvlJc w:val="left"/>
      <w:pPr>
        <w:tabs>
          <w:tab w:val="num" w:pos="0"/>
        </w:tabs>
        <w:ind w:left="660" w:hanging="6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8">
    <w:lvl w:ilvl="0">
      <w:start w:val="4"/>
      <w:numFmt w:val="decimal"/>
      <w:lvlText w:val="%1."/>
      <w:lvlJc w:val="left"/>
      <w:pPr>
        <w:tabs>
          <w:tab w:val="num" w:pos="0"/>
        </w:tabs>
        <w:ind w:left="540" w:hanging="540"/>
      </w:pPr>
      <w:rPr/>
    </w:lvl>
    <w:lvl w:ilvl="1">
      <w:start w:val="1"/>
      <w:numFmt w:val="decimal"/>
      <w:lvlText w:val="%1.%2."/>
      <w:lvlJc w:val="left"/>
      <w:pPr>
        <w:tabs>
          <w:tab w:val="num" w:pos="0"/>
        </w:tabs>
        <w:ind w:left="540" w:hanging="54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9">
    <w:lvl w:ilvl="0">
      <w:start w:val="4"/>
      <w:numFmt w:val="decimal"/>
      <w:lvlText w:val="%1."/>
      <w:lvlJc w:val="left"/>
      <w:pPr>
        <w:tabs>
          <w:tab w:val="num" w:pos="0"/>
        </w:tabs>
        <w:ind w:left="540" w:hanging="540"/>
      </w:pPr>
      <w:rPr/>
    </w:lvl>
    <w:lvl w:ilvl="1">
      <w:start w:val="2"/>
      <w:numFmt w:val="decimal"/>
      <w:lvlText w:val="%1.%2."/>
      <w:lvlJc w:val="left"/>
      <w:pPr>
        <w:tabs>
          <w:tab w:val="num" w:pos="0"/>
        </w:tabs>
        <w:ind w:left="540" w:hanging="54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0">
    <w:lvl w:ilvl="0">
      <w:start w:val="5"/>
      <w:numFmt w:val="decimal"/>
      <w:lvlText w:val="%1."/>
      <w:lvlJc w:val="left"/>
      <w:pPr>
        <w:tabs>
          <w:tab w:val="num" w:pos="0"/>
        </w:tabs>
        <w:ind w:left="540" w:hanging="540"/>
      </w:pPr>
      <w:rPr/>
    </w:lvl>
    <w:lvl w:ilvl="1">
      <w:start w:val="1"/>
      <w:numFmt w:val="decimal"/>
      <w:lvlText w:val="%1.%2."/>
      <w:lvlJc w:val="left"/>
      <w:pPr>
        <w:tabs>
          <w:tab w:val="num" w:pos="0"/>
        </w:tabs>
        <w:ind w:left="540" w:hanging="54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1">
    <w:lvl w:ilvl="0">
      <w:start w:val="5"/>
      <w:numFmt w:val="decimal"/>
      <w:lvlText w:val="%1."/>
      <w:lvlJc w:val="left"/>
      <w:pPr>
        <w:tabs>
          <w:tab w:val="num" w:pos="0"/>
        </w:tabs>
        <w:ind w:left="540" w:hanging="540"/>
      </w:pPr>
      <w:rPr/>
    </w:lvl>
    <w:lvl w:ilvl="1">
      <w:start w:val="6"/>
      <w:numFmt w:val="decimal"/>
      <w:lvlText w:val="%1.%2."/>
      <w:lvlJc w:val="left"/>
      <w:pPr>
        <w:tabs>
          <w:tab w:val="num" w:pos="0"/>
        </w:tabs>
        <w:ind w:left="540" w:hanging="540"/>
      </w:pPr>
      <w:rPr>
        <w:b/>
        <w:bCs/>
      </w:rPr>
    </w:lvl>
    <w:lvl w:ilvl="2">
      <w:start w:val="1"/>
      <w:numFmt w:val="decimal"/>
      <w:lvlText w:val="%1.%2.%3."/>
      <w:lvlJc w:val="left"/>
      <w:pPr>
        <w:tabs>
          <w:tab w:val="num" w:pos="0"/>
        </w:tabs>
        <w:ind w:left="720" w:hanging="720"/>
      </w:pPr>
      <w:rPr>
        <w:b w:val="false"/>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2">
    <w:lvl w:ilvl="0">
      <w:start w:val="8"/>
      <w:numFmt w:val="decimal"/>
      <w:lvlText w:val="%1."/>
      <w:lvlJc w:val="left"/>
      <w:pPr>
        <w:tabs>
          <w:tab w:val="num" w:pos="0"/>
        </w:tabs>
        <w:ind w:left="504" w:hanging="504"/>
      </w:pPr>
      <w:rPr/>
    </w:lvl>
    <w:lvl w:ilvl="1">
      <w:start w:val="2"/>
      <w:numFmt w:val="decimal"/>
      <w:lvlText w:val="%1.%2."/>
      <w:lvlJc w:val="left"/>
      <w:pPr>
        <w:tabs>
          <w:tab w:val="num" w:pos="0"/>
        </w:tabs>
        <w:ind w:left="858" w:hanging="504"/>
      </w:pPr>
      <w:rPr/>
    </w:lvl>
    <w:lvl w:ilvl="2">
      <w:start w:val="1"/>
      <w:numFmt w:val="decimal"/>
      <w:lvlText w:val="%1.%2.%3."/>
      <w:lvlJc w:val="left"/>
      <w:pPr>
        <w:tabs>
          <w:tab w:val="num" w:pos="0"/>
        </w:tabs>
        <w:ind w:left="1428" w:hanging="720"/>
      </w:pPr>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496" w:hanging="108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564" w:hanging="144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632" w:hanging="1800"/>
      </w:pPr>
      <w:rPr/>
    </w:lvl>
  </w:abstractNum>
  <w:abstractNum w:abstractNumId="23">
    <w:lvl w:ilvl="0">
      <w:start w:val="1"/>
      <w:numFmt w:val="decimal"/>
      <w:lvlText w:val="%1."/>
      <w:lvlJc w:val="left"/>
      <w:pPr>
        <w:tabs>
          <w:tab w:val="num" w:pos="0"/>
        </w:tabs>
        <w:ind w:left="720" w:hanging="360"/>
      </w:pPr>
      <w:rPr/>
    </w:lvl>
    <w:lvl w:ilvl="1">
      <w:start w:val="1"/>
      <w:numFmt w:val="decimal"/>
      <w:lvlText w:val="%1.%2."/>
      <w:lvlJc w:val="left"/>
      <w:pPr>
        <w:tabs>
          <w:tab w:val="num" w:pos="0"/>
        </w:tabs>
        <w:ind w:left="780" w:hanging="42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2160" w:hanging="1800"/>
      </w:pPr>
      <w:rPr/>
    </w:lvl>
  </w:abstractNum>
  <w:abstractNum w:abstractNumId="24">
    <w:lvl w:ilvl="0">
      <w:start w:val="1"/>
      <w:numFmt w:val="taiwaneseCountingThousand"/>
      <w:lvlText w:val=""/>
      <w:lvlJc w:val="left"/>
      <w:pPr>
        <w:tabs>
          <w:tab w:val="num" w:pos="0"/>
        </w:tabs>
        <w:ind w:left="0" w:hanging="0"/>
      </w:pPr>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25">
    <w:lvl w:ilvl="0">
      <w:start w:val="11"/>
      <w:numFmt w:val="upperRoman"/>
      <w:lvlText w:val="%1."/>
      <w:lvlJc w:val="left"/>
      <w:pPr>
        <w:tabs>
          <w:tab w:val="num" w:pos="0"/>
        </w:tabs>
        <w:ind w:left="1996" w:hanging="720"/>
      </w:pPr>
      <w:rPr/>
    </w:lvl>
    <w:lvl w:ilvl="1">
      <w:start w:val="1"/>
      <w:numFmt w:val="lowerLetter"/>
      <w:lvlText w:val="%2."/>
      <w:lvlJc w:val="left"/>
      <w:pPr>
        <w:tabs>
          <w:tab w:val="num" w:pos="0"/>
        </w:tabs>
        <w:ind w:left="2356" w:hanging="360"/>
      </w:pPr>
      <w:rPr/>
    </w:lvl>
    <w:lvl w:ilvl="2">
      <w:start w:val="1"/>
      <w:numFmt w:val="lowerRoman"/>
      <w:lvlText w:val="%3."/>
      <w:lvlJc w:val="right"/>
      <w:pPr>
        <w:tabs>
          <w:tab w:val="num" w:pos="0"/>
        </w:tabs>
        <w:ind w:left="3076" w:hanging="180"/>
      </w:pPr>
      <w:rPr/>
    </w:lvl>
    <w:lvl w:ilvl="3">
      <w:start w:val="1"/>
      <w:numFmt w:val="decimal"/>
      <w:lvlText w:val="%4."/>
      <w:lvlJc w:val="left"/>
      <w:pPr>
        <w:tabs>
          <w:tab w:val="num" w:pos="0"/>
        </w:tabs>
        <w:ind w:left="3796" w:hanging="360"/>
      </w:pPr>
      <w:rPr/>
    </w:lvl>
    <w:lvl w:ilvl="4">
      <w:start w:val="1"/>
      <w:numFmt w:val="lowerLetter"/>
      <w:lvlText w:val="%5."/>
      <w:lvlJc w:val="left"/>
      <w:pPr>
        <w:tabs>
          <w:tab w:val="num" w:pos="0"/>
        </w:tabs>
        <w:ind w:left="4516" w:hanging="360"/>
      </w:pPr>
      <w:rPr/>
    </w:lvl>
    <w:lvl w:ilvl="5">
      <w:start w:val="1"/>
      <w:numFmt w:val="lowerRoman"/>
      <w:lvlText w:val="%6."/>
      <w:lvlJc w:val="right"/>
      <w:pPr>
        <w:tabs>
          <w:tab w:val="num" w:pos="0"/>
        </w:tabs>
        <w:ind w:left="5236" w:hanging="180"/>
      </w:pPr>
      <w:rPr/>
    </w:lvl>
    <w:lvl w:ilvl="6">
      <w:start w:val="1"/>
      <w:numFmt w:val="decimal"/>
      <w:lvlText w:val="%7."/>
      <w:lvlJc w:val="left"/>
      <w:pPr>
        <w:tabs>
          <w:tab w:val="num" w:pos="0"/>
        </w:tabs>
        <w:ind w:left="5956" w:hanging="360"/>
      </w:pPr>
      <w:rPr/>
    </w:lvl>
    <w:lvl w:ilvl="7">
      <w:start w:val="1"/>
      <w:numFmt w:val="lowerLetter"/>
      <w:lvlText w:val="%8."/>
      <w:lvlJc w:val="left"/>
      <w:pPr>
        <w:tabs>
          <w:tab w:val="num" w:pos="0"/>
        </w:tabs>
        <w:ind w:left="6676" w:hanging="360"/>
      </w:pPr>
      <w:rPr/>
    </w:lvl>
    <w:lvl w:ilvl="8">
      <w:start w:val="1"/>
      <w:numFmt w:val="lowerRoman"/>
      <w:lvlText w:val="%9."/>
      <w:lvlJc w:val="right"/>
      <w:pPr>
        <w:tabs>
          <w:tab w:val="num" w:pos="0"/>
        </w:tabs>
        <w:ind w:left="7396" w:hanging="180"/>
      </w:pPr>
      <w:rPr/>
    </w:lvl>
  </w:abstractNum>
  <w:abstractNum w:abstractNumId="26">
    <w:lvl w:ilvl="0">
      <w:start w:val="12"/>
      <w:numFmt w:val="decimal"/>
      <w:lvlText w:val="%1."/>
      <w:lvlJc w:val="left"/>
      <w:pPr>
        <w:tabs>
          <w:tab w:val="num" w:pos="0"/>
        </w:tabs>
        <w:ind w:left="480" w:hanging="480"/>
      </w:pPr>
      <w:rPr/>
    </w:lvl>
    <w:lvl w:ilvl="1">
      <w:start w:val="1"/>
      <w:numFmt w:val="decimal"/>
      <w:lvlText w:val="%1.%2."/>
      <w:lvlJc w:val="left"/>
      <w:pPr>
        <w:tabs>
          <w:tab w:val="num" w:pos="0"/>
        </w:tabs>
        <w:ind w:left="1756" w:hanging="480"/>
      </w:pPr>
      <w:rPr/>
    </w:lvl>
    <w:lvl w:ilvl="2">
      <w:start w:val="1"/>
      <w:numFmt w:val="decimal"/>
      <w:lvlText w:val="%1.%2.%3."/>
      <w:lvlJc w:val="left"/>
      <w:pPr>
        <w:tabs>
          <w:tab w:val="num" w:pos="0"/>
        </w:tabs>
        <w:ind w:left="3272" w:hanging="720"/>
      </w:pPr>
      <w:rPr/>
    </w:lvl>
    <w:lvl w:ilvl="3">
      <w:start w:val="1"/>
      <w:numFmt w:val="decimal"/>
      <w:lvlText w:val="%1.%2.%3.%4."/>
      <w:lvlJc w:val="left"/>
      <w:pPr>
        <w:tabs>
          <w:tab w:val="num" w:pos="0"/>
        </w:tabs>
        <w:ind w:left="4548" w:hanging="720"/>
      </w:pPr>
      <w:rPr/>
    </w:lvl>
    <w:lvl w:ilvl="4">
      <w:start w:val="1"/>
      <w:numFmt w:val="decimal"/>
      <w:lvlText w:val="%1.%2.%3.%4.%5."/>
      <w:lvlJc w:val="left"/>
      <w:pPr>
        <w:tabs>
          <w:tab w:val="num" w:pos="0"/>
        </w:tabs>
        <w:ind w:left="6184" w:hanging="1080"/>
      </w:pPr>
      <w:rPr/>
    </w:lvl>
    <w:lvl w:ilvl="5">
      <w:start w:val="1"/>
      <w:numFmt w:val="decimal"/>
      <w:lvlText w:val="%1.%2.%3.%4.%5.%6."/>
      <w:lvlJc w:val="left"/>
      <w:pPr>
        <w:tabs>
          <w:tab w:val="num" w:pos="0"/>
        </w:tabs>
        <w:ind w:left="7460" w:hanging="1080"/>
      </w:pPr>
      <w:rPr/>
    </w:lvl>
    <w:lvl w:ilvl="6">
      <w:start w:val="1"/>
      <w:numFmt w:val="decimal"/>
      <w:lvlText w:val="%1.%2.%3.%4.%5.%6.%7."/>
      <w:lvlJc w:val="left"/>
      <w:pPr>
        <w:tabs>
          <w:tab w:val="num" w:pos="0"/>
        </w:tabs>
        <w:ind w:left="9096" w:hanging="1440"/>
      </w:pPr>
      <w:rPr/>
    </w:lvl>
    <w:lvl w:ilvl="7">
      <w:start w:val="1"/>
      <w:numFmt w:val="decimal"/>
      <w:lvlText w:val="%1.%2.%3.%4.%5.%6.%7.%8."/>
      <w:lvlJc w:val="left"/>
      <w:pPr>
        <w:tabs>
          <w:tab w:val="num" w:pos="0"/>
        </w:tabs>
        <w:ind w:left="10372" w:hanging="1440"/>
      </w:pPr>
      <w:rPr/>
    </w:lvl>
    <w:lvl w:ilvl="8">
      <w:start w:val="1"/>
      <w:numFmt w:val="decimal"/>
      <w:lvlText w:val="%1.%2.%3.%4.%5.%6.%7.%8.%9."/>
      <w:lvlJc w:val="left"/>
      <w:pPr>
        <w:tabs>
          <w:tab w:val="num" w:pos="0"/>
        </w:tabs>
        <w:ind w:left="12008" w:hanging="1800"/>
      </w:pPr>
      <w:rPr/>
    </w:lvl>
  </w:abstractNum>
  <w:abstractNum w:abstractNumId="27">
    <w:lvl w:ilvl="0">
      <w:start w:val="1"/>
      <w:numFmt w:val="decimal"/>
      <w:lvlText w:val="%1."/>
      <w:lvlJc w:val="left"/>
      <w:pPr>
        <w:tabs>
          <w:tab w:val="num" w:pos="0"/>
        </w:tabs>
        <w:ind w:left="72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2160" w:hanging="1800"/>
      </w:pPr>
      <w:rPr/>
    </w:lvl>
  </w:abstractNum>
  <w:abstractNum w:abstractNumId="28">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9">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0">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1">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2">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3">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4">
    <w:lvl w:ilvl="0">
      <w:start w:val="1"/>
      <w:numFmt w:val="decimal"/>
      <w:lvlText w:val="%1)"/>
      <w:lvlJc w:val="left"/>
      <w:pPr>
        <w:tabs>
          <w:tab w:val="num" w:pos="720"/>
        </w:tabs>
        <w:ind w:left="720" w:hanging="360"/>
      </w:pPr>
      <w:rPr>
        <w:b w:val="false"/>
        <w:rFonts w:ascii="Times New Roman" w:hAnsi="Times New Roman" w:eastAsia="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180"/>
        </w:tabs>
        <w:ind w:left="180" w:hanging="180"/>
      </w:pPr>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5">
    <w:lvl w:ilvl="0">
      <w:start w:val="1"/>
      <w:numFmt w:val="decimal"/>
      <w:lvlText w:val="%1."/>
      <w:lvlJc w:val="left"/>
      <w:pPr>
        <w:tabs>
          <w:tab w:val="num" w:pos="420"/>
        </w:tabs>
        <w:ind w:left="420" w:hanging="420"/>
      </w:pPr>
      <w:rPr/>
    </w:lvl>
    <w:lvl w:ilvl="1">
      <w:start w:val="1"/>
      <w:numFmt w:val="decimal"/>
      <w:lvlText w:val="%1.%2."/>
      <w:lvlJc w:val="left"/>
      <w:pPr>
        <w:tabs>
          <w:tab w:val="num" w:pos="420"/>
        </w:tabs>
        <w:ind w:left="420" w:hanging="420"/>
      </w:pPr>
      <w:rPr>
        <w:sz w:val="24"/>
        <w:i w:val="false"/>
        <w:b w:val="false"/>
        <w:rFonts w:ascii="Times New Roman" w:hAnsi="Times New Roman" w:cs="Times New Roman"/>
      </w:rPr>
    </w:lvl>
    <w:lvl w:ilvl="2">
      <w:start w:val="1"/>
      <w:numFmt w:val="decimal"/>
      <w:lvlText w:val="%1.%2.%3."/>
      <w:lvlJc w:val="left"/>
      <w:pPr>
        <w:tabs>
          <w:tab w:val="num" w:pos="720"/>
        </w:tabs>
        <w:ind w:left="720" w:hanging="720"/>
      </w:pPr>
      <w:rPr>
        <w:sz w:val="24"/>
        <w:rFonts w:ascii="Times New Roman" w:hAnsi="Times New Roman" w:cs="Times New Roman"/>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abstractNum>
  <w:abstractNum w:abstractNumId="36">
    <w:lvl w:ilvl="0">
      <w:start w:val="4"/>
      <w:numFmt w:val="decimal"/>
      <w:lvlText w:val="%1."/>
      <w:lvlJc w:val="left"/>
      <w:pPr>
        <w:tabs>
          <w:tab w:val="num" w:pos="540"/>
        </w:tabs>
        <w:ind w:left="540" w:hanging="540"/>
      </w:pPr>
      <w:rPr>
        <w:b w:val="false"/>
      </w:rPr>
    </w:lvl>
    <w:lvl w:ilvl="1">
      <w:start w:val="1"/>
      <w:numFmt w:val="decimal"/>
      <w:lvlText w:val="2.%2."/>
      <w:lvlJc w:val="left"/>
      <w:pPr>
        <w:tabs>
          <w:tab w:val="num" w:pos="540"/>
        </w:tabs>
        <w:ind w:left="540" w:hanging="540"/>
      </w:pPr>
      <w:rPr>
        <w:sz w:val="24"/>
        <w:b w:val="false"/>
        <w:szCs w:val="22"/>
      </w:rPr>
    </w:lvl>
    <w:lvl w:ilvl="2">
      <w:start w:val="1"/>
      <w:numFmt w:val="decimal"/>
      <w:lvlText w:val="%1.%2.%3."/>
      <w:lvlJc w:val="left"/>
      <w:pPr>
        <w:tabs>
          <w:tab w:val="num" w:pos="720"/>
        </w:tabs>
        <w:ind w:left="720" w:hanging="720"/>
      </w:pPr>
      <w:rPr>
        <w:b w:val="false"/>
      </w:rPr>
    </w:lvl>
    <w:lvl w:ilvl="3">
      <w:start w:val="1"/>
      <w:numFmt w:val="decimal"/>
      <w:lvlText w:val="%1.%2.%3.%4."/>
      <w:lvlJc w:val="left"/>
      <w:pPr>
        <w:tabs>
          <w:tab w:val="num" w:pos="720"/>
        </w:tabs>
        <w:ind w:left="720" w:hanging="720"/>
      </w:pPr>
      <w:rPr>
        <w:b w:val="false"/>
      </w:rPr>
    </w:lvl>
    <w:lvl w:ilvl="4">
      <w:start w:val="1"/>
      <w:numFmt w:val="decimal"/>
      <w:lvlText w:val="%1.%2.%3.%4.%5."/>
      <w:lvlJc w:val="left"/>
      <w:pPr>
        <w:tabs>
          <w:tab w:val="num" w:pos="1080"/>
        </w:tabs>
        <w:ind w:left="1080" w:hanging="1080"/>
      </w:pPr>
      <w:rPr>
        <w:b w:val="false"/>
      </w:rPr>
    </w:lvl>
    <w:lvl w:ilvl="5">
      <w:start w:val="1"/>
      <w:numFmt w:val="decimal"/>
      <w:lvlText w:val="%1.%2.%3.%4.%5.%6."/>
      <w:lvlJc w:val="left"/>
      <w:pPr>
        <w:tabs>
          <w:tab w:val="num" w:pos="1080"/>
        </w:tabs>
        <w:ind w:left="1080" w:hanging="1080"/>
      </w:pPr>
      <w:rPr>
        <w:b w:val="false"/>
      </w:rPr>
    </w:lvl>
    <w:lvl w:ilvl="6">
      <w:start w:val="1"/>
      <w:numFmt w:val="decimal"/>
      <w:lvlText w:val="%1.%2.%3.%4.%5.%6.%7."/>
      <w:lvlJc w:val="left"/>
      <w:pPr>
        <w:tabs>
          <w:tab w:val="num" w:pos="1440"/>
        </w:tabs>
        <w:ind w:left="1440" w:hanging="1440"/>
      </w:pPr>
      <w:rPr>
        <w:b w:val="false"/>
      </w:rPr>
    </w:lvl>
    <w:lvl w:ilvl="7">
      <w:start w:val="1"/>
      <w:numFmt w:val="decimal"/>
      <w:lvlText w:val="%1.%2.%3.%4.%5.%6.%7.%8."/>
      <w:lvlJc w:val="left"/>
      <w:pPr>
        <w:tabs>
          <w:tab w:val="num" w:pos="1440"/>
        </w:tabs>
        <w:ind w:left="1440" w:hanging="1440"/>
      </w:pPr>
      <w:rPr>
        <w:b w:val="false"/>
      </w:rPr>
    </w:lvl>
    <w:lvl w:ilvl="8">
      <w:start w:val="1"/>
      <w:numFmt w:val="decimal"/>
      <w:lvlText w:val="%1.%2.%3.%4.%5.%6.%7.%8.%9."/>
      <w:lvlJc w:val="left"/>
      <w:pPr>
        <w:tabs>
          <w:tab w:val="num" w:pos="1800"/>
        </w:tabs>
        <w:ind w:left="1800" w:hanging="1800"/>
      </w:pPr>
      <w:rPr>
        <w:b w:val="false"/>
      </w:rPr>
    </w:lvl>
  </w:abstractNum>
  <w:abstractNum w:abstractNumId="37">
    <w:lvl w:ilvl="0">
      <w:start w:val="3"/>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8">
    <w:lvl w:ilvl="0">
      <w:start w:val="5"/>
      <w:numFmt w:val="decimal"/>
      <w:lvlText w:val="%1."/>
      <w:lvlJc w:val="left"/>
      <w:pPr>
        <w:tabs>
          <w:tab w:val="num" w:pos="720"/>
        </w:tabs>
        <w:ind w:left="720" w:hanging="720"/>
      </w:pPr>
      <w:rPr/>
    </w:lvl>
    <w:lvl w:ilvl="1">
      <w:start w:val="1"/>
      <w:numFmt w:val="decimal"/>
      <w:lvlText w:val="3.%2."/>
      <w:lvlJc w:val="left"/>
      <w:pPr>
        <w:tabs>
          <w:tab w:val="num" w:pos="720"/>
        </w:tabs>
        <w:ind w:left="720" w:hanging="720"/>
      </w:pPr>
      <w:rPr>
        <w:b w:val="false"/>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abstractNum>
  <w:abstractNum w:abstractNumId="39">
    <w:lvl w:ilvl="0">
      <w:start w:val="4"/>
      <w:numFmt w:val="decimal"/>
      <w:lvlText w:val="%1."/>
      <w:lvlJc w:val="left"/>
      <w:pPr>
        <w:tabs>
          <w:tab w:val="num" w:pos="360"/>
        </w:tabs>
        <w:ind w:left="360" w:hanging="360"/>
      </w:pPr>
      <w:rPr/>
    </w:lvl>
    <w:lvl w:ilvl="1">
      <w:start w:val="1"/>
      <w:numFmt w:val="decimal"/>
      <w:lvlText w:val="4.%2."/>
      <w:lvlJc w:val="left"/>
      <w:pPr>
        <w:tabs>
          <w:tab w:val="num" w:pos="360"/>
        </w:tabs>
        <w:ind w:left="360" w:hanging="360"/>
      </w:pPr>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abstractNum>
  <w:abstractNum w:abstractNumId="40">
    <w:lvl w:ilvl="0">
      <w:start w:val="4"/>
      <w:numFmt w:val="decimal"/>
      <w:lvlText w:val="%1."/>
      <w:lvlJc w:val="left"/>
      <w:pPr>
        <w:tabs>
          <w:tab w:val="num" w:pos="360"/>
        </w:tabs>
        <w:ind w:left="360" w:hanging="360"/>
      </w:pPr>
      <w:rPr>
        <w:i w:val="false"/>
        <w:b/>
      </w:rPr>
    </w:lvl>
    <w:lvl w:ilvl="1">
      <w:start w:val="1"/>
      <w:numFmt w:val="decimal"/>
      <w:lvlText w:val="%1.%2."/>
      <w:lvlJc w:val="left"/>
      <w:pPr>
        <w:tabs>
          <w:tab w:val="num" w:pos="360"/>
        </w:tabs>
        <w:ind w:left="360" w:hanging="360"/>
      </w:pPr>
      <w:rPr>
        <w:i w:val="false"/>
        <w:b w:val="false"/>
      </w:rPr>
    </w:lvl>
    <w:lvl w:ilvl="2">
      <w:start w:val="1"/>
      <w:numFmt w:val="decimal"/>
      <w:lvlText w:val="%1.%2.%3."/>
      <w:lvlJc w:val="left"/>
      <w:pPr>
        <w:tabs>
          <w:tab w:val="num" w:pos="1571"/>
        </w:tabs>
        <w:ind w:left="1571"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abstractNum>
  <w:abstractNum w:abstractNumId="4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28"/>
    <w:lvlOverride w:ilvl="0">
      <w:startOverride w:val="1"/>
    </w:lvlOverride>
  </w:num>
  <w:num w:numId="43">
    <w:abstractNumId w:val="28"/>
  </w:num>
  <w:num w:numId="44">
    <w:abstractNumId w:val="28"/>
  </w:num>
  <w:num w:numId="45">
    <w:abstractNumId w:val="28"/>
  </w:num>
  <w:num w:numId="46">
    <w:abstractNumId w:val="28"/>
  </w:num>
  <w:num w:numId="47">
    <w:abstractNumId w:val="28"/>
  </w:num>
  <w:num w:numId="48">
    <w:abstractNumId w:val="28"/>
  </w:num>
  <w:num w:numId="49">
    <w:abstractNumId w:val="35"/>
    <w:lvlOverride w:ilvl="0">
      <w:startOverride w:val="1"/>
    </w:lvlOverride>
  </w:num>
  <w:num w:numId="50">
    <w:abstractNumId w:val="36"/>
    <w:lvlOverride w:ilvl="0"/>
    <w:lvlOverride w:ilvl="1">
      <w:startOverride w:val="1"/>
    </w:lvlOverride>
  </w:num>
  <w:num w:numId="51">
    <w:abstractNumId w:val="37"/>
    <w:lvlOverride w:ilvl="0">
      <w:startOverride w:val="3"/>
    </w:lvlOverride>
  </w:num>
  <w:num w:numId="52">
    <w:abstractNumId w:val="38"/>
    <w:lvlOverride w:ilvl="0"/>
    <w:lvlOverride w:ilvl="1">
      <w:startOverride w:val="1"/>
    </w:lvlOverride>
  </w:num>
  <w:num w:numId="53">
    <w:abstractNumId w:val="39"/>
    <w:lvlOverride w:ilvl="0">
      <w:startOverride w:val="4"/>
    </w:lvlOverride>
  </w:num>
  <w:num w:numId="54">
    <w:abstractNumId w:val="40"/>
    <w:lvlOverride w:ilvl="0"/>
    <w:lvlOverride w:ilvl="1">
      <w:startOverride w:val="1"/>
    </w:lvlOverride>
  </w:num>
</w:numbering>
</file>

<file path=word/settings.xml><?xml version="1.0" encoding="utf-8"?>
<w:settings xmlns:w="http://schemas.openxmlformats.org/wordprocessingml/2006/main">
  <w:zoom w:percent="100"/>
  <w:defaultTabStop w:val="567"/>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lv-LV"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uiPriority="0"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uiPriority="0" w:semiHidden="1" w:unhideWhenUsed="1"/>
    <w:lsdException w:name="List 3" w:uiPriority="0"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uiPriority="0"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uiPriority="0" w:semiHidden="1" w:unhideWhenUsed="1"/>
    <w:lsdException w:name="FollowedHyperlink" w:uiPriority="0"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6720"/>
    <w:pPr>
      <w:widowControl/>
      <w:suppressAutoHyphens w:val="true"/>
      <w:bidi w:val="0"/>
      <w:spacing w:before="0" w:after="0"/>
      <w:jc w:val="left"/>
    </w:pPr>
    <w:rPr>
      <w:rFonts w:ascii="Arial" w:hAnsi="Arial" w:eastAsia="Times New Roman" w:cs="Arial"/>
      <w:color w:val="auto"/>
      <w:kern w:val="0"/>
      <w:sz w:val="22"/>
      <w:szCs w:val="22"/>
      <w:lang w:eastAsia="lv-LV" w:val="lv-LV" w:bidi="ar-SA"/>
    </w:rPr>
  </w:style>
  <w:style w:type="paragraph" w:styleId="Virsraksts1">
    <w:name w:val="Heading 1"/>
    <w:basedOn w:val="Normal"/>
    <w:next w:val="Normal"/>
    <w:link w:val="Virsraksts1Rakstz"/>
    <w:uiPriority w:val="99"/>
    <w:qFormat/>
    <w:rsid w:val="00845f6c"/>
    <w:pPr>
      <w:keepNext w:val="true"/>
      <w:numPr>
        <w:ilvl w:val="0"/>
        <w:numId w:val="3"/>
      </w:numPr>
      <w:jc w:val="center"/>
      <w:outlineLvl w:val="0"/>
    </w:pPr>
    <w:rPr>
      <w:rFonts w:ascii="Times New Roman" w:hAnsi="Times New Roman" w:cs="Times New Roman"/>
      <w:b/>
      <w:sz w:val="28"/>
      <w:szCs w:val="20"/>
      <w:lang w:eastAsia="en-US"/>
    </w:rPr>
  </w:style>
  <w:style w:type="paragraph" w:styleId="Virsraksts2">
    <w:name w:val="Heading 2"/>
    <w:basedOn w:val="Normal"/>
    <w:next w:val="Normal"/>
    <w:link w:val="Virsraksts2Rakstz"/>
    <w:qFormat/>
    <w:rsid w:val="00845f6c"/>
    <w:pPr>
      <w:keepNext w:val="true"/>
      <w:numPr>
        <w:ilvl w:val="1"/>
        <w:numId w:val="3"/>
      </w:numPr>
      <w:outlineLvl w:val="1"/>
    </w:pPr>
    <w:rPr>
      <w:rFonts w:ascii="Times New Roman" w:hAnsi="Times New Roman" w:cs="Times New Roman"/>
      <w:b/>
      <w:sz w:val="28"/>
      <w:szCs w:val="20"/>
      <w:lang w:eastAsia="en-US"/>
    </w:rPr>
  </w:style>
  <w:style w:type="paragraph" w:styleId="Virsraksts3">
    <w:name w:val="Heading 3"/>
    <w:basedOn w:val="Normal"/>
    <w:next w:val="Normal"/>
    <w:link w:val="Virsraksts3Rakstz"/>
    <w:qFormat/>
    <w:rsid w:val="00845f6c"/>
    <w:pPr>
      <w:keepNext w:val="true"/>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Normal"/>
    <w:next w:val="Normal"/>
    <w:link w:val="Virsraksts4Rakstz"/>
    <w:qFormat/>
    <w:rsid w:val="00845f6c"/>
    <w:pPr>
      <w:keepNext w:val="true"/>
      <w:widowControl w:val="false"/>
      <w:numPr>
        <w:ilvl w:val="3"/>
        <w:numId w:val="3"/>
      </w:numPr>
      <w:jc w:val="both"/>
      <w:outlineLvl w:val="3"/>
    </w:pPr>
    <w:rPr>
      <w:rFonts w:cs="Times New Roman"/>
      <w:b/>
      <w:sz w:val="24"/>
      <w:szCs w:val="20"/>
      <w:lang w:eastAsia="en-US"/>
    </w:rPr>
  </w:style>
  <w:style w:type="paragraph" w:styleId="Virsraksts5">
    <w:name w:val="Heading 5"/>
    <w:basedOn w:val="Normal"/>
    <w:next w:val="Normal"/>
    <w:link w:val="Virsraksts5Rakstz"/>
    <w:qFormat/>
    <w:rsid w:val="00845f6c"/>
    <w:pPr>
      <w:keepNext w:val="true"/>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Normal"/>
    <w:next w:val="Normal"/>
    <w:link w:val="Virsraksts6Rakstz"/>
    <w:qFormat/>
    <w:rsid w:val="00845f6c"/>
    <w:pPr>
      <w:keepNext w:val="true"/>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Normal"/>
    <w:next w:val="Normal"/>
    <w:link w:val="Virsraksts7Rakstz"/>
    <w:qFormat/>
    <w:rsid w:val="00845f6c"/>
    <w:pPr>
      <w:keepNext w:val="true"/>
      <w:numPr>
        <w:ilvl w:val="6"/>
        <w:numId w:val="3"/>
      </w:numPr>
      <w:outlineLvl w:val="6"/>
    </w:pPr>
    <w:rPr>
      <w:rFonts w:ascii="Times New Roman" w:hAnsi="Times New Roman" w:cs="Times New Roman"/>
      <w:b/>
      <w:i/>
      <w:sz w:val="24"/>
      <w:szCs w:val="20"/>
      <w:lang w:eastAsia="en-US"/>
    </w:rPr>
  </w:style>
  <w:style w:type="paragraph" w:styleId="Virsraksts8">
    <w:name w:val="Heading 8"/>
    <w:basedOn w:val="Normal"/>
    <w:next w:val="Normal"/>
    <w:link w:val="Virsraksts8Rakstz"/>
    <w:qFormat/>
    <w:rsid w:val="00845f6c"/>
    <w:pPr>
      <w:keepNext w:val="true"/>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Normal"/>
    <w:next w:val="Normal"/>
    <w:link w:val="Virsraksts9Rakstz"/>
    <w:qFormat/>
    <w:rsid w:val="00845f6c"/>
    <w:pPr>
      <w:keepNext w:val="true"/>
      <w:numPr>
        <w:ilvl w:val="8"/>
        <w:numId w:val="3"/>
      </w:numPr>
      <w:ind w:right="-58" w:hanging="0"/>
      <w:jc w:val="center"/>
      <w:outlineLvl w:val="8"/>
    </w:pPr>
    <w:rPr>
      <w:rFonts w:ascii="Times New Roman" w:hAnsi="Times New Roman" w:cs="Times New Roman"/>
      <w:b/>
      <w:sz w:val="28"/>
      <w:szCs w:val="20"/>
      <w:lang w:eastAsia="en-US"/>
    </w:rPr>
  </w:style>
  <w:style w:type="character" w:styleId="DefaultParagraphFont" w:default="1">
    <w:name w:val="Default Paragraph Font"/>
    <w:uiPriority w:val="1"/>
    <w:semiHidden/>
    <w:unhideWhenUsed/>
    <w:qFormat/>
    <w:rPr/>
  </w:style>
  <w:style w:type="character" w:styleId="Virsraksts1Rakstz" w:customStyle="1">
    <w:name w:val="Virsraksts 1 Rakstz."/>
    <w:basedOn w:val="DefaultParagraphFont"/>
    <w:uiPriority w:val="99"/>
    <w:qFormat/>
    <w:rsid w:val="00845f6c"/>
    <w:rPr>
      <w:rFonts w:ascii="Times New Roman" w:hAnsi="Times New Roman" w:eastAsia="Times New Roman" w:cs="Times New Roman"/>
      <w:b/>
      <w:sz w:val="28"/>
      <w:szCs w:val="20"/>
    </w:rPr>
  </w:style>
  <w:style w:type="character" w:styleId="Virsraksts2Rakstz" w:customStyle="1">
    <w:name w:val="Virsraksts 2 Rakstz."/>
    <w:basedOn w:val="DefaultParagraphFont"/>
    <w:qFormat/>
    <w:rsid w:val="00845f6c"/>
    <w:rPr>
      <w:rFonts w:ascii="Times New Roman" w:hAnsi="Times New Roman" w:eastAsia="Times New Roman" w:cs="Times New Roman"/>
      <w:b/>
      <w:sz w:val="28"/>
      <w:szCs w:val="20"/>
    </w:rPr>
  </w:style>
  <w:style w:type="character" w:styleId="Virsraksts3Rakstz" w:customStyle="1">
    <w:name w:val="Virsraksts 3 Rakstz."/>
    <w:basedOn w:val="DefaultParagraphFont"/>
    <w:qFormat/>
    <w:rsid w:val="00845f6c"/>
    <w:rPr>
      <w:rFonts w:ascii="Times New Roman" w:hAnsi="Times New Roman" w:eastAsia="Times New Roman" w:cs="Times New Roman"/>
      <w:b/>
      <w:sz w:val="28"/>
      <w:szCs w:val="20"/>
    </w:rPr>
  </w:style>
  <w:style w:type="character" w:styleId="Virsraksts4Rakstz" w:customStyle="1">
    <w:name w:val="Virsraksts 4 Rakstz."/>
    <w:basedOn w:val="DefaultParagraphFont"/>
    <w:qFormat/>
    <w:rsid w:val="00845f6c"/>
    <w:rPr>
      <w:rFonts w:ascii="Arial" w:hAnsi="Arial" w:eastAsia="Times New Roman" w:cs="Times New Roman"/>
      <w:b/>
      <w:sz w:val="24"/>
      <w:szCs w:val="20"/>
    </w:rPr>
  </w:style>
  <w:style w:type="character" w:styleId="Virsraksts5Rakstz" w:customStyle="1">
    <w:name w:val="Virsraksts 5 Rakstz."/>
    <w:basedOn w:val="DefaultParagraphFont"/>
    <w:qFormat/>
    <w:rsid w:val="00845f6c"/>
    <w:rPr>
      <w:rFonts w:ascii="Times New Roman" w:hAnsi="Times New Roman" w:eastAsia="Times New Roman" w:cs="Times New Roman"/>
      <w:b/>
      <w:sz w:val="28"/>
      <w:szCs w:val="20"/>
    </w:rPr>
  </w:style>
  <w:style w:type="character" w:styleId="Virsraksts6Rakstz" w:customStyle="1">
    <w:name w:val="Virsraksts 6 Rakstz."/>
    <w:basedOn w:val="DefaultParagraphFont"/>
    <w:qFormat/>
    <w:rsid w:val="00845f6c"/>
    <w:rPr>
      <w:rFonts w:ascii="Times New Roman" w:hAnsi="Times New Roman" w:eastAsia="Times New Roman" w:cs="Times New Roman"/>
      <w:b/>
      <w:sz w:val="28"/>
      <w:szCs w:val="20"/>
    </w:rPr>
  </w:style>
  <w:style w:type="character" w:styleId="Virsraksts7Rakstz" w:customStyle="1">
    <w:name w:val="Virsraksts 7 Rakstz."/>
    <w:basedOn w:val="DefaultParagraphFont"/>
    <w:qFormat/>
    <w:rsid w:val="00845f6c"/>
    <w:rPr>
      <w:rFonts w:ascii="Times New Roman" w:hAnsi="Times New Roman" w:eastAsia="Times New Roman" w:cs="Times New Roman"/>
      <w:b/>
      <w:i/>
      <w:sz w:val="24"/>
      <w:szCs w:val="20"/>
    </w:rPr>
  </w:style>
  <w:style w:type="character" w:styleId="Virsraksts8Rakstz" w:customStyle="1">
    <w:name w:val="Virsraksts 8 Rakstz."/>
    <w:basedOn w:val="DefaultParagraphFont"/>
    <w:qFormat/>
    <w:rsid w:val="00845f6c"/>
    <w:rPr>
      <w:rFonts w:ascii="Times New Roman" w:hAnsi="Times New Roman" w:eastAsia="Times New Roman" w:cs="Times New Roman"/>
      <w:b/>
      <w:sz w:val="28"/>
      <w:szCs w:val="20"/>
    </w:rPr>
  </w:style>
  <w:style w:type="character" w:styleId="Virsraksts9Rakstz" w:customStyle="1">
    <w:name w:val="Virsraksts 9 Rakstz."/>
    <w:basedOn w:val="DefaultParagraphFont"/>
    <w:qFormat/>
    <w:rsid w:val="00845f6c"/>
    <w:rPr>
      <w:rFonts w:ascii="Times New Roman" w:hAnsi="Times New Roman" w:eastAsia="Times New Roman" w:cs="Times New Roman"/>
      <w:b/>
      <w:sz w:val="28"/>
      <w:szCs w:val="20"/>
    </w:rPr>
  </w:style>
  <w:style w:type="character" w:styleId="PamattekstsRakstz" w:customStyle="1">
    <w:name w:val="Pamatteksts Rakstz."/>
    <w:basedOn w:val="DefaultParagraphFont"/>
    <w:uiPriority w:val="99"/>
    <w:qFormat/>
    <w:rsid w:val="00845f6c"/>
    <w:rPr>
      <w:rFonts w:ascii="Arial" w:hAnsi="Arial" w:eastAsia="Times New Roman" w:cs="Arial"/>
      <w:lang w:eastAsia="lv-LV"/>
    </w:rPr>
  </w:style>
  <w:style w:type="character" w:styleId="Pamatteksts3Rakstz" w:customStyle="1">
    <w:name w:val="Pamatteksts 3 Rakstz."/>
    <w:basedOn w:val="DefaultParagraphFont"/>
    <w:link w:val="BodyText3"/>
    <w:qFormat/>
    <w:rsid w:val="00845f6c"/>
    <w:rPr>
      <w:rFonts w:ascii="Times New Roman" w:hAnsi="Times New Roman" w:eastAsia="Times New Roman" w:cs="Times New Roman"/>
      <w:sz w:val="28"/>
      <w:szCs w:val="20"/>
    </w:rPr>
  </w:style>
  <w:style w:type="character" w:styleId="GalveneRakstz" w:customStyle="1">
    <w:name w:val="Galvene Rakstz."/>
    <w:basedOn w:val="DefaultParagraphFont"/>
    <w:qFormat/>
    <w:rsid w:val="00845f6c"/>
    <w:rPr>
      <w:rFonts w:ascii="RimTimes" w:hAnsi="RimTimes" w:eastAsia="Times New Roman" w:cs="Times New Roman"/>
      <w:sz w:val="28"/>
      <w:szCs w:val="20"/>
      <w:lang w:val="en-GB"/>
    </w:rPr>
  </w:style>
  <w:style w:type="character" w:styleId="PamattekstsaratkpiRakstz" w:customStyle="1">
    <w:name w:val="Pamatteksts ar atkāpi Rakstz."/>
    <w:basedOn w:val="DefaultParagraphFont"/>
    <w:qFormat/>
    <w:rsid w:val="00845f6c"/>
    <w:rPr>
      <w:rFonts w:ascii="Times New Roman" w:hAnsi="Times New Roman" w:eastAsia="Times New Roman" w:cs="Times New Roman"/>
      <w:sz w:val="28"/>
      <w:szCs w:val="20"/>
    </w:rPr>
  </w:style>
  <w:style w:type="character" w:styleId="Pamattekstaatkpe3Rakstz" w:customStyle="1">
    <w:name w:val="Pamatteksta atkāpe 3 Rakstz."/>
    <w:basedOn w:val="DefaultParagraphFont"/>
    <w:link w:val="BodyTextIndent3"/>
    <w:qFormat/>
    <w:rsid w:val="00845f6c"/>
    <w:rPr>
      <w:rFonts w:ascii="Times New Roman" w:hAnsi="Times New Roman" w:eastAsia="Times New Roman" w:cs="Times New Roman"/>
      <w:sz w:val="28"/>
      <w:szCs w:val="20"/>
    </w:rPr>
  </w:style>
  <w:style w:type="character" w:styleId="Pamattekstaatkpe2Rakstz" w:customStyle="1">
    <w:name w:val="Pamatteksta atkāpe 2 Rakstz."/>
    <w:basedOn w:val="DefaultParagraphFont"/>
    <w:link w:val="BodyTextIndent2"/>
    <w:qFormat/>
    <w:rsid w:val="00845f6c"/>
    <w:rPr>
      <w:rFonts w:ascii="Times New Roman" w:hAnsi="Times New Roman" w:eastAsia="Times New Roman" w:cs="Times New Roman"/>
      <w:sz w:val="28"/>
      <w:szCs w:val="20"/>
    </w:rPr>
  </w:style>
  <w:style w:type="character" w:styleId="NosaukumsRakstz" w:customStyle="1">
    <w:name w:val="Nosaukums Rakstz."/>
    <w:basedOn w:val="DefaultParagraphFont"/>
    <w:qFormat/>
    <w:rsid w:val="00845f6c"/>
    <w:rPr>
      <w:rFonts w:ascii="Times New Roman" w:hAnsi="Times New Roman" w:eastAsia="Times New Roman" w:cs="Times New Roman"/>
      <w:b/>
      <w:sz w:val="32"/>
      <w:szCs w:val="20"/>
    </w:rPr>
  </w:style>
  <w:style w:type="character" w:styleId="Pamatteksts2Rakstz" w:customStyle="1">
    <w:name w:val="Pamatteksts 2 Rakstz."/>
    <w:basedOn w:val="DefaultParagraphFont"/>
    <w:link w:val="BodyText2"/>
    <w:qFormat/>
    <w:rsid w:val="00845f6c"/>
    <w:rPr>
      <w:rFonts w:ascii="Times New Roman" w:hAnsi="Times New Roman" w:eastAsia="Times New Roman" w:cs="Times New Roman"/>
      <w:sz w:val="28"/>
      <w:szCs w:val="20"/>
      <w:lang w:val="en-GB"/>
    </w:rPr>
  </w:style>
  <w:style w:type="character" w:styleId="Pagenumber">
    <w:name w:val="page number"/>
    <w:basedOn w:val="DefaultParagraphFont"/>
    <w:qFormat/>
    <w:rsid w:val="00845f6c"/>
    <w:rPr/>
  </w:style>
  <w:style w:type="character" w:styleId="ApakvirsrakstsRakstz" w:customStyle="1">
    <w:name w:val="Apakšvirsraksts Rakstz."/>
    <w:basedOn w:val="DefaultParagraphFont"/>
    <w:qFormat/>
    <w:rsid w:val="00845f6c"/>
    <w:rPr>
      <w:rFonts w:ascii="Times New Roman" w:hAnsi="Times New Roman" w:eastAsia="Times New Roman" w:cs="Times New Roman"/>
      <w:b/>
      <w:sz w:val="28"/>
      <w:szCs w:val="20"/>
    </w:rPr>
  </w:style>
  <w:style w:type="character" w:styleId="Hipersaite1" w:customStyle="1">
    <w:name w:val="Hipersaite1"/>
    <w:uiPriority w:val="99"/>
    <w:qFormat/>
    <w:rsid w:val="00ea198f"/>
    <w:rPr>
      <w:color w:val="0000FF"/>
      <w:u w:val="single"/>
    </w:rPr>
  </w:style>
  <w:style w:type="character" w:styleId="KjeneRakstz" w:customStyle="1">
    <w:name w:val="Kājene Rakstz."/>
    <w:basedOn w:val="DefaultParagraphFont"/>
    <w:qFormat/>
    <w:rsid w:val="00845f6c"/>
    <w:rPr>
      <w:rFonts w:ascii="Times New Roman" w:hAnsi="Times New Roman" w:eastAsia="Times New Roman" w:cs="Times New Roman"/>
      <w:sz w:val="28"/>
      <w:szCs w:val="20"/>
    </w:rPr>
  </w:style>
  <w:style w:type="character" w:styleId="Apmekltainternetasaite">
    <w:name w:val="FollowedHyperlink"/>
    <w:rsid w:val="00845f6c"/>
    <w:rPr>
      <w:color w:val="800080"/>
      <w:u w:val="single"/>
    </w:rPr>
  </w:style>
  <w:style w:type="character" w:styleId="PamattekstsaratkpiRakstz1" w:customStyle="1">
    <w:name w:val="Pamatteksts ar atkāpi Rakstz.1"/>
    <w:basedOn w:val="PamattekstsRakstz"/>
    <w:qFormat/>
    <w:rsid w:val="00845f6c"/>
    <w:rPr>
      <w:rFonts w:ascii="Times New Roman" w:hAnsi="Times New Roman" w:eastAsia="Times New Roman" w:cs="Times New Roman"/>
      <w:kern w:val="2"/>
      <w:sz w:val="20"/>
      <w:szCs w:val="20"/>
      <w:lang w:val="en-GB" w:eastAsia="lv-LV"/>
    </w:rPr>
  </w:style>
  <w:style w:type="character" w:styleId="VrestekstsRakstz" w:customStyle="1">
    <w:name w:val="Vēres teksts Rakstz."/>
    <w:basedOn w:val="DefaultParagraphFont"/>
    <w:semiHidden/>
    <w:qFormat/>
    <w:rsid w:val="00845f6c"/>
    <w:rPr>
      <w:rFonts w:ascii="Times New Roman" w:hAnsi="Times New Roman" w:eastAsia="Times New Roman" w:cs="Times New Roman"/>
      <w:sz w:val="20"/>
      <w:szCs w:val="20"/>
      <w:lang w:val="en-US"/>
    </w:rPr>
  </w:style>
  <w:style w:type="character" w:styleId="Vresenkurs">
    <w:name w:val="Footnote Reference"/>
    <w:rPr>
      <w:vertAlign w:val="superscript"/>
    </w:rPr>
  </w:style>
  <w:style w:type="character" w:styleId="FootnoteCharacters" w:customStyle="1">
    <w:name w:val="Footnote Characters"/>
    <w:semiHidden/>
    <w:qFormat/>
    <w:rsid w:val="00845f6c"/>
    <w:rPr>
      <w:vertAlign w:val="superscript"/>
    </w:rPr>
  </w:style>
  <w:style w:type="character" w:styleId="Virsraksts31" w:customStyle="1">
    <w:name w:val="Virsraksts 31"/>
    <w:qFormat/>
    <w:rsid w:val="00845f6c"/>
    <w:rPr>
      <w:rFonts w:ascii="Times New Roman Bold" w:hAnsi="Times New Roman Bold"/>
      <w:b/>
      <w:bCs/>
      <w:sz w:val="24"/>
    </w:rPr>
  </w:style>
  <w:style w:type="character" w:styleId="Linenumber">
    <w:name w:val="line number"/>
    <w:basedOn w:val="DefaultParagraphFont"/>
    <w:qFormat/>
    <w:rsid w:val="00845f6c"/>
    <w:rPr/>
  </w:style>
  <w:style w:type="character" w:styleId="Annotationreference">
    <w:name w:val="annotation reference"/>
    <w:semiHidden/>
    <w:qFormat/>
    <w:rsid w:val="00845f6c"/>
    <w:rPr>
      <w:sz w:val="16"/>
      <w:szCs w:val="16"/>
    </w:rPr>
  </w:style>
  <w:style w:type="character" w:styleId="KomentratekstsRakstz" w:customStyle="1">
    <w:name w:val="Komentāra teksts Rakstz."/>
    <w:basedOn w:val="DefaultParagraphFont"/>
    <w:link w:val="Annotationtext"/>
    <w:semiHidden/>
    <w:qFormat/>
    <w:rsid w:val="00845f6c"/>
    <w:rPr>
      <w:rFonts w:ascii="Arial" w:hAnsi="Arial" w:eastAsia="Times New Roman" w:cs="Arial"/>
      <w:sz w:val="20"/>
      <w:szCs w:val="20"/>
      <w:lang w:eastAsia="lv-LV"/>
    </w:rPr>
  </w:style>
  <w:style w:type="character" w:styleId="BalontekstsRakstz" w:customStyle="1">
    <w:name w:val="Balonteksts Rakstz."/>
    <w:basedOn w:val="DefaultParagraphFont"/>
    <w:link w:val="BalloonText"/>
    <w:semiHidden/>
    <w:qFormat/>
    <w:rsid w:val="00845f6c"/>
    <w:rPr>
      <w:rFonts w:ascii="Tahoma" w:hAnsi="Tahoma" w:eastAsia="Times New Roman" w:cs="Tahoma"/>
      <w:sz w:val="16"/>
      <w:szCs w:val="16"/>
      <w:lang w:eastAsia="lv-LV"/>
    </w:rPr>
  </w:style>
  <w:style w:type="character" w:styleId="VienkrstekstsRakstz" w:customStyle="1">
    <w:name w:val="Vienkāršs teksts Rakstz."/>
    <w:basedOn w:val="DefaultParagraphFont"/>
    <w:link w:val="PlainText"/>
    <w:uiPriority w:val="99"/>
    <w:qFormat/>
    <w:rsid w:val="00845f6c"/>
    <w:rPr>
      <w:rFonts w:ascii="Calibri" w:hAnsi="Calibri" w:eastAsia="Calibri" w:cs="Times New Roman"/>
      <w:szCs w:val="21"/>
    </w:rPr>
  </w:style>
  <w:style w:type="character" w:styleId="SarakstarindkopaRakstz" w:customStyle="1">
    <w:name w:val="Saraksta rindkopa Rakstz."/>
    <w:link w:val="ListParagraph"/>
    <w:uiPriority w:val="34"/>
    <w:qFormat/>
    <w:locked/>
    <w:rsid w:val="00845f6c"/>
    <w:rPr>
      <w:rFonts w:ascii="Arial" w:hAnsi="Arial" w:eastAsia="Times New Roman" w:cs="Times New Roman"/>
      <w:sz w:val="24"/>
      <w:szCs w:val="20"/>
      <w:lang w:eastAsia="lv-LV"/>
    </w:rPr>
  </w:style>
  <w:style w:type="character" w:styleId="Uzsvars">
    <w:name w:val="Emphasis"/>
    <w:basedOn w:val="DefaultParagraphFont"/>
    <w:uiPriority w:val="99"/>
    <w:qFormat/>
    <w:rsid w:val="00760f8a"/>
    <w:rPr>
      <w:rFonts w:cs="Times New Roman"/>
      <w:i/>
    </w:rPr>
  </w:style>
  <w:style w:type="character" w:styleId="FontStyle60" w:customStyle="1">
    <w:name w:val="Font Style60"/>
    <w:qFormat/>
    <w:rsid w:val="0092482b"/>
    <w:rPr>
      <w:rFonts w:ascii="Arial" w:hAnsi="Arial" w:cs="Arial"/>
      <w:b/>
      <w:bCs/>
      <w:sz w:val="18"/>
      <w:szCs w:val="18"/>
    </w:rPr>
  </w:style>
  <w:style w:type="character" w:styleId="HTMLiepriekformattaisRakstz" w:customStyle="1">
    <w:name w:val="HTML iepriekšformatētais Rakstz."/>
    <w:basedOn w:val="DefaultParagraphFont"/>
    <w:link w:val="HTMLPreformatted"/>
    <w:uiPriority w:val="99"/>
    <w:qFormat/>
    <w:rsid w:val="008329d1"/>
    <w:rPr>
      <w:rFonts w:ascii="Courier New" w:hAnsi="Courier New" w:eastAsia="Times New Roman" w:cs="Courier New"/>
      <w:sz w:val="20"/>
      <w:szCs w:val="20"/>
      <w:lang w:eastAsia="lv-LV"/>
    </w:rPr>
  </w:style>
  <w:style w:type="character" w:styleId="Neatrisintapieminana1" w:customStyle="1">
    <w:name w:val="Neatrisināta pieminēšana1"/>
    <w:qFormat/>
    <w:rPr>
      <w:rFonts w:ascii="Times New Roman" w:hAnsi="Times New Roman" w:eastAsia="Times New Roman" w:cs="Times New Roman"/>
      <w:color w:val="605E5C"/>
      <w:sz w:val="24"/>
      <w:szCs w:val="24"/>
      <w:shd w:fill="E1DFDD" w:val="clear"/>
    </w:rPr>
  </w:style>
  <w:style w:type="character" w:styleId="Vresrakstzmes" w:customStyle="1">
    <w:name w:val="Vēres rakstzīmes"/>
    <w:qFormat/>
    <w:rPr/>
  </w:style>
  <w:style w:type="character" w:styleId="CharacterStyle1" w:customStyle="1">
    <w:name w:val="Character Style 1"/>
    <w:qFormat/>
    <w:rPr>
      <w:sz w:val="22"/>
      <w:szCs w:val="22"/>
    </w:rPr>
  </w:style>
  <w:style w:type="character" w:styleId="Strong">
    <w:name w:val="Strong"/>
    <w:qFormat/>
    <w:rPr>
      <w:rFonts w:ascii="Times New Roman" w:hAnsi="Times New Roman" w:eastAsia="Times New Roman" w:cs="Times New Roman"/>
      <w:b/>
      <w:bCs/>
      <w:color w:val="000000"/>
      <w:sz w:val="24"/>
      <w:szCs w:val="24"/>
    </w:rPr>
  </w:style>
  <w:style w:type="character" w:styleId="Noklusjumarindkopasfonts2" w:customStyle="1">
    <w:name w:val="Noklusējuma rindkopas fonts2"/>
    <w:qFormat/>
    <w:rPr/>
  </w:style>
  <w:style w:type="character" w:styleId="Beiguvresenkurs">
    <w:name w:val="Endnote Reference"/>
    <w:rPr>
      <w:vertAlign w:val="superscript"/>
    </w:rPr>
  </w:style>
  <w:style w:type="character" w:styleId="EndnoteCharacters" w:customStyle="1">
    <w:name w:val="Endnote Characters"/>
    <w:qFormat/>
    <w:rPr>
      <w:vertAlign w:val="superscript"/>
    </w:rPr>
  </w:style>
  <w:style w:type="character" w:styleId="Beiguvresrakstzme" w:customStyle="1">
    <w:name w:val="Beigu vēres rakstzīme"/>
    <w:qFormat/>
    <w:rPr/>
  </w:style>
  <w:style w:type="character" w:styleId="Internetasaite">
    <w:name w:val="Hyperlink"/>
    <w:rPr>
      <w:color w:val="000080"/>
      <w:u w:val="single"/>
    </w:rPr>
  </w:style>
  <w:style w:type="paragraph" w:styleId="Virsraksts" w:customStyle="1">
    <w:name w:val="Virsraksts"/>
    <w:basedOn w:val="Normal"/>
    <w:next w:val="Pamatteksts"/>
    <w:qFormat/>
    <w:pPr>
      <w:keepNext w:val="true"/>
      <w:spacing w:before="240" w:after="120"/>
    </w:pPr>
    <w:rPr>
      <w:rFonts w:ascii="Times New Roman" w:hAnsi="Times New Roman" w:eastAsia="Microsoft YaHei"/>
      <w:sz w:val="28"/>
      <w:szCs w:val="28"/>
    </w:rPr>
  </w:style>
  <w:style w:type="paragraph" w:styleId="Pamatteksts">
    <w:name w:val="Body Text"/>
    <w:basedOn w:val="Normal"/>
    <w:link w:val="PamattekstsRakstz"/>
    <w:uiPriority w:val="99"/>
    <w:rsid w:val="00845f6c"/>
    <w:pPr>
      <w:spacing w:before="0" w:after="120"/>
    </w:pPr>
    <w:rPr/>
  </w:style>
  <w:style w:type="paragraph" w:styleId="Saraksts">
    <w:name w:val="List"/>
    <w:basedOn w:val="Normal"/>
    <w:rsid w:val="00845f6c"/>
    <w:pPr>
      <w:widowControl w:val="false"/>
      <w:ind w:left="283" w:hanging="283"/>
    </w:pPr>
    <w:rPr>
      <w:rFonts w:ascii="Times New Roman" w:hAnsi="Times New Roman" w:cs="Times New Roman"/>
      <w:kern w:val="2"/>
      <w:sz w:val="20"/>
      <w:szCs w:val="20"/>
      <w:lang w:val="en-GB"/>
    </w:rPr>
  </w:style>
  <w:style w:type="paragraph" w:styleId="Parakstsobjektam">
    <w:name w:val="Caption"/>
    <w:basedOn w:val="Normal"/>
    <w:qFormat/>
    <w:pPr>
      <w:suppressLineNumbers/>
      <w:spacing w:before="120" w:after="120"/>
    </w:pPr>
    <w:rPr>
      <w:rFonts w:ascii="Times New Roman" w:hAnsi="Times New Roman" w:cs="Arial"/>
      <w:i/>
      <w:iCs/>
      <w:sz w:val="24"/>
      <w:szCs w:val="24"/>
    </w:rPr>
  </w:style>
  <w:style w:type="paragraph" w:styleId="Rdtjs" w:customStyle="1">
    <w:name w:val="Rādītājs"/>
    <w:basedOn w:val="Normal"/>
    <w:qFormat/>
    <w:pPr>
      <w:suppressLineNumbers/>
    </w:pPr>
    <w:rPr>
      <w:rFonts w:ascii="Times New Roman" w:hAnsi="Times New Roman"/>
    </w:rPr>
  </w:style>
  <w:style w:type="paragraph" w:styleId="Caption">
    <w:name w:val="caption"/>
    <w:basedOn w:val="Normal"/>
    <w:qFormat/>
    <w:pPr>
      <w:suppressLineNumbers/>
      <w:spacing w:before="120" w:after="120"/>
    </w:pPr>
    <w:rPr>
      <w:rFonts w:ascii="Times New Roman" w:hAnsi="Times New Roman"/>
      <w:i/>
      <w:iCs/>
      <w:sz w:val="24"/>
      <w:szCs w:val="24"/>
    </w:rPr>
  </w:style>
  <w:style w:type="paragraph" w:styleId="Style21" w:customStyle="1">
    <w:name w:val="Style2"/>
    <w:basedOn w:val="Pamatteksts"/>
    <w:qFormat/>
    <w:rsid w:val="00845f6c"/>
    <w:pPr>
      <w:widowControl w:val="false"/>
      <w:spacing w:before="0" w:after="0"/>
      <w:jc w:val="both"/>
    </w:pPr>
    <w:rPr>
      <w:rFonts w:eastAsia="Lucida Sans Unicode"/>
    </w:rPr>
  </w:style>
  <w:style w:type="paragraph" w:styleId="BodyText3">
    <w:name w:val="Body Text 3"/>
    <w:basedOn w:val="Normal"/>
    <w:link w:val="Pamatteksts3Rakstz"/>
    <w:qFormat/>
    <w:rsid w:val="00845f6c"/>
    <w:pPr>
      <w:jc w:val="both"/>
    </w:pPr>
    <w:rPr>
      <w:rFonts w:ascii="Times New Roman" w:hAnsi="Times New Roman" w:cs="Times New Roman"/>
      <w:sz w:val="28"/>
      <w:szCs w:val="20"/>
      <w:lang w:eastAsia="en-US"/>
    </w:rPr>
  </w:style>
  <w:style w:type="paragraph" w:styleId="Galveneunkjene" w:customStyle="1">
    <w:name w:val="Galvene un kājene"/>
    <w:basedOn w:val="Normal"/>
    <w:qFormat/>
    <w:pPr/>
    <w:rPr/>
  </w:style>
  <w:style w:type="paragraph" w:styleId="Galvene">
    <w:name w:val="Header"/>
    <w:basedOn w:val="Normal"/>
    <w:link w:val="GalveneRakstz"/>
    <w:rsid w:val="00845f6c"/>
    <w:pPr>
      <w:tabs>
        <w:tab w:val="clear" w:pos="567"/>
        <w:tab w:val="center" w:pos="4320" w:leader="none"/>
        <w:tab w:val="right" w:pos="8640" w:leader="none"/>
      </w:tabs>
    </w:pPr>
    <w:rPr>
      <w:rFonts w:ascii="RimTimes" w:hAnsi="RimTimes" w:cs="Times New Roman"/>
      <w:sz w:val="28"/>
      <w:szCs w:val="20"/>
      <w:lang w:val="en-GB" w:eastAsia="en-US"/>
    </w:rPr>
  </w:style>
  <w:style w:type="paragraph" w:styleId="Pamattekstaatkpe">
    <w:name w:val="Body Text Indent"/>
    <w:basedOn w:val="Pamatteksts"/>
    <w:link w:val="PamattekstsaratkpiRakstz1"/>
    <w:qFormat/>
    <w:rsid w:val="00845f6c"/>
    <w:pPr>
      <w:widowControl w:val="false"/>
      <w:ind w:firstLine="210"/>
    </w:pPr>
    <w:rPr>
      <w:rFonts w:ascii="Times New Roman" w:hAnsi="Times New Roman" w:cs="Times New Roman"/>
      <w:kern w:val="2"/>
      <w:sz w:val="20"/>
      <w:szCs w:val="20"/>
      <w:lang w:val="en-GB"/>
    </w:rPr>
  </w:style>
  <w:style w:type="paragraph" w:styleId="BodyTextIndent3">
    <w:name w:val="Body Text Indent 3"/>
    <w:basedOn w:val="Normal"/>
    <w:link w:val="Pamattekstaatkpe3Rakstz"/>
    <w:qFormat/>
    <w:rsid w:val="00845f6c"/>
    <w:pPr>
      <w:ind w:left="142" w:firstLine="1298"/>
    </w:pPr>
    <w:rPr>
      <w:rFonts w:ascii="Times New Roman" w:hAnsi="Times New Roman" w:cs="Times New Roman"/>
      <w:sz w:val="28"/>
      <w:szCs w:val="20"/>
      <w:lang w:eastAsia="en-US"/>
    </w:rPr>
  </w:style>
  <w:style w:type="paragraph" w:styleId="BodyTextIndent2">
    <w:name w:val="Body Text Indent 2"/>
    <w:basedOn w:val="Normal"/>
    <w:link w:val="Pamattekstaatkpe2Rakstz"/>
    <w:qFormat/>
    <w:rsid w:val="00845f6c"/>
    <w:pPr>
      <w:ind w:firstLine="1080"/>
    </w:pPr>
    <w:rPr>
      <w:rFonts w:ascii="Times New Roman" w:hAnsi="Times New Roman" w:cs="Times New Roman"/>
      <w:sz w:val="28"/>
      <w:szCs w:val="20"/>
      <w:lang w:eastAsia="en-US"/>
    </w:rPr>
  </w:style>
  <w:style w:type="paragraph" w:styleId="Nosaukums">
    <w:name w:val="Title"/>
    <w:basedOn w:val="Normal"/>
    <w:link w:val="NosaukumsRakstz"/>
    <w:qFormat/>
    <w:rsid w:val="00845f6c"/>
    <w:pPr>
      <w:ind w:firstLine="720"/>
      <w:jc w:val="center"/>
    </w:pPr>
    <w:rPr>
      <w:rFonts w:ascii="Times New Roman" w:hAnsi="Times New Roman" w:cs="Times New Roman"/>
      <w:b/>
      <w:sz w:val="32"/>
      <w:szCs w:val="20"/>
      <w:lang w:eastAsia="en-US"/>
    </w:rPr>
  </w:style>
  <w:style w:type="paragraph" w:styleId="BodyText2">
    <w:name w:val="Body Text 2"/>
    <w:basedOn w:val="Normal"/>
    <w:link w:val="Pamatteksts2Rakstz"/>
    <w:qFormat/>
    <w:rsid w:val="00845f6c"/>
    <w:pPr/>
    <w:rPr>
      <w:rFonts w:ascii="Times New Roman" w:hAnsi="Times New Roman" w:cs="Times New Roman"/>
      <w:sz w:val="28"/>
      <w:szCs w:val="20"/>
      <w:lang w:val="en-GB" w:eastAsia="en-US"/>
    </w:rPr>
  </w:style>
  <w:style w:type="paragraph" w:styleId="Dokumentaapakvirsraksts">
    <w:name w:val="Subtitle"/>
    <w:basedOn w:val="Normal"/>
    <w:link w:val="ApakvirsrakstsRakstz"/>
    <w:qFormat/>
    <w:rsid w:val="00845f6c"/>
    <w:pPr>
      <w:numPr>
        <w:ilvl w:val="0"/>
        <w:numId w:val="1"/>
      </w:numPr>
      <w:ind w:left="0" w:hanging="0"/>
      <w:jc w:val="center"/>
    </w:pPr>
    <w:rPr>
      <w:rFonts w:ascii="Times New Roman" w:hAnsi="Times New Roman" w:cs="Times New Roman"/>
      <w:b/>
      <w:sz w:val="28"/>
      <w:szCs w:val="20"/>
      <w:lang w:eastAsia="en-US"/>
    </w:rPr>
  </w:style>
  <w:style w:type="paragraph" w:styleId="Normal1" w:customStyle="1">
    <w:name w:val="Normal1"/>
    <w:basedOn w:val="Normal"/>
    <w:qFormat/>
    <w:rsid w:val="00845f6c"/>
    <w:pPr>
      <w:tabs>
        <w:tab w:val="clear" w:pos="567"/>
        <w:tab w:val="left" w:pos="545" w:leader="none"/>
      </w:tabs>
      <w:ind w:left="170" w:hanging="0"/>
      <w:jc w:val="both"/>
    </w:pPr>
    <w:rPr>
      <w:rFonts w:ascii="Times New Roman" w:hAnsi="Times New Roman" w:cs="Times New Roman"/>
      <w:sz w:val="28"/>
      <w:szCs w:val="20"/>
      <w:lang w:val="en-GB" w:eastAsia="en-US"/>
    </w:rPr>
  </w:style>
  <w:style w:type="paragraph" w:styleId="Kjene">
    <w:name w:val="Footer"/>
    <w:basedOn w:val="Normal"/>
    <w:link w:val="KjeneRakstz"/>
    <w:rsid w:val="00845f6c"/>
    <w:pPr>
      <w:tabs>
        <w:tab w:val="clear" w:pos="567"/>
        <w:tab w:val="center" w:pos="4677" w:leader="none"/>
        <w:tab w:val="right" w:pos="9355" w:leader="none"/>
      </w:tabs>
    </w:pPr>
    <w:rPr>
      <w:rFonts w:ascii="Times New Roman" w:hAnsi="Times New Roman" w:cs="Times New Roman"/>
      <w:sz w:val="28"/>
      <w:szCs w:val="20"/>
      <w:lang w:eastAsia="en-US"/>
    </w:rPr>
  </w:style>
  <w:style w:type="paragraph" w:styleId="Preformatted" w:customStyle="1">
    <w:name w:val="Preformatted"/>
    <w:basedOn w:val="Normal"/>
    <w:qFormat/>
    <w:rsid w:val="00845f6c"/>
    <w:pPr>
      <w:tabs>
        <w:tab w:val="clear" w:pos="567"/>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lang w:eastAsia="en-US"/>
    </w:rPr>
  </w:style>
  <w:style w:type="paragraph" w:styleId="HeadingJ1" w:customStyle="1">
    <w:name w:val="Heading J1"/>
    <w:basedOn w:val="Virsraksts4"/>
    <w:qFormat/>
    <w:rsid w:val="00845f6c"/>
    <w:pPr>
      <w:widowControl/>
      <w:spacing w:before="0" w:after="60"/>
      <w:jc w:val="left"/>
    </w:pPr>
    <w:rPr>
      <w:rFonts w:ascii="Times New Roman" w:hAnsi="Times New Roman"/>
      <w:sz w:val="28"/>
      <w:lang w:eastAsia="lv-LV"/>
    </w:rPr>
  </w:style>
  <w:style w:type="paragraph" w:styleId="2pakpesapakpunkts" w:customStyle="1">
    <w:name w:val="2. pakāpes apakšpunkts"/>
    <w:basedOn w:val="Virsraksts2"/>
    <w:qFormat/>
    <w:rsid w:val="00845f6c"/>
    <w:pPr>
      <w:keepNext w:val="false"/>
      <w:numPr>
        <w:ilvl w:val="1"/>
        <w:numId w:val="1"/>
      </w:numPr>
      <w:tabs>
        <w:tab w:val="clear" w:pos="567"/>
        <w:tab w:val="left" w:pos="624" w:leader="none"/>
      </w:tabs>
      <w:spacing w:before="0" w:after="60"/>
      <w:jc w:val="both"/>
    </w:pPr>
    <w:rPr>
      <w:b w:val="false"/>
    </w:rPr>
  </w:style>
  <w:style w:type="paragraph" w:styleId="3pakpesapakvirsraksts" w:customStyle="1">
    <w:name w:val="3.pakāpes apakšvirsraksts"/>
    <w:basedOn w:val="2pakpesapakpunkts"/>
    <w:qFormat/>
    <w:rsid w:val="00845f6c"/>
    <w:pPr>
      <w:tabs>
        <w:tab w:val="clear" w:pos="624"/>
        <w:tab w:val="left" w:pos="360" w:leader="none"/>
        <w:tab w:val="left" w:pos="1276" w:leader="none"/>
      </w:tabs>
    </w:pPr>
    <w:rPr/>
  </w:style>
  <w:style w:type="paragraph" w:styleId="1pakpesapakvirsraksts" w:customStyle="1">
    <w:name w:val="1. pakāpes apakšvirsraksts"/>
    <w:basedOn w:val="Virsraksts1"/>
    <w:qFormat/>
    <w:rsid w:val="00845f6c"/>
    <w:pPr>
      <w:keepNext w:val="false"/>
      <w:numPr>
        <w:ilvl w:val="0"/>
        <w:numId w:val="0"/>
      </w:numPr>
      <w:tabs>
        <w:tab w:val="clear" w:pos="567"/>
        <w:tab w:val="left" w:pos="397" w:leader="none"/>
      </w:tabs>
      <w:spacing w:before="240" w:after="120"/>
      <w:ind w:left="397" w:hanging="397"/>
      <w:jc w:val="both"/>
    </w:pPr>
    <w:rPr/>
  </w:style>
  <w:style w:type="paragraph" w:styleId="4pakpesapakvirsraksts" w:customStyle="1">
    <w:name w:val="4.pakāpes apakšvirsraksts"/>
    <w:basedOn w:val="3pakpesapakvirsraksts"/>
    <w:qFormat/>
    <w:rsid w:val="00845f6c"/>
    <w:pPr/>
    <w:rPr/>
  </w:style>
  <w:style w:type="paragraph" w:styleId="BlockText">
    <w:name w:val="Block Text"/>
    <w:basedOn w:val="Normal"/>
    <w:qFormat/>
    <w:rsid w:val="00845f6c"/>
    <w:pPr>
      <w:ind w:left="426" w:right="-58" w:hanging="426"/>
      <w:jc w:val="both"/>
    </w:pPr>
    <w:rPr>
      <w:rFonts w:ascii="Times New Roman" w:hAnsi="Times New Roman" w:cs="Times New Roman"/>
      <w:sz w:val="28"/>
      <w:szCs w:val="20"/>
    </w:rPr>
  </w:style>
  <w:style w:type="paragraph" w:styleId="Txt1" w:customStyle="1">
    <w:name w:val="txt1"/>
    <w:qFormat/>
    <w:rsid w:val="00845f6c"/>
    <w:pPr>
      <w:widowControl w:val="false"/>
      <w:tabs>
        <w:tab w:val="clear" w:pos="567"/>
        <w:tab w:val="left" w:pos="397" w:leader="none"/>
        <w:tab w:val="left" w:pos="794" w:leader="none"/>
        <w:tab w:val="left" w:pos="1191" w:leader="none"/>
        <w:tab w:val="left" w:pos="1588" w:leader="none"/>
        <w:tab w:val="left" w:pos="1985" w:leader="none"/>
        <w:tab w:val="left" w:pos="2382" w:leader="none"/>
        <w:tab w:val="left" w:pos="2779" w:leader="none"/>
        <w:tab w:val="left" w:pos="3176" w:leader="none"/>
        <w:tab w:val="left" w:pos="3573" w:leader="none"/>
        <w:tab w:val="left" w:pos="3970" w:leader="none"/>
        <w:tab w:val="left" w:pos="4367" w:leader="none"/>
        <w:tab w:val="left" w:pos="4764" w:leader="none"/>
      </w:tabs>
      <w:suppressAutoHyphens w:val="true"/>
      <w:bidi w:val="0"/>
      <w:spacing w:before="0" w:after="0"/>
      <w:jc w:val="both"/>
    </w:pPr>
    <w:rPr>
      <w:rFonts w:ascii="!Neo'w Arial" w:hAnsi="!Neo'w Arial" w:eastAsia="Times New Roman" w:cs="Times New Roman"/>
      <w:color w:val="000000"/>
      <w:kern w:val="0"/>
      <w:sz w:val="20"/>
      <w:szCs w:val="20"/>
      <w:lang w:val="en-US" w:eastAsia="en-US" w:bidi="ar-SA"/>
    </w:rPr>
  </w:style>
  <w:style w:type="paragraph" w:styleId="Naisf" w:customStyle="1">
    <w:name w:val="naisf"/>
    <w:basedOn w:val="Normal"/>
    <w:qFormat/>
    <w:rsid w:val="00845f6c"/>
    <w:pPr>
      <w:spacing w:before="75" w:after="75"/>
      <w:ind w:firstLine="375"/>
      <w:jc w:val="both"/>
    </w:pPr>
    <w:rPr>
      <w:rFonts w:ascii="Times New Roman" w:hAnsi="Times New Roman" w:cs="Times New Roman"/>
      <w:sz w:val="24"/>
      <w:szCs w:val="24"/>
    </w:rPr>
  </w:style>
  <w:style w:type="paragraph" w:styleId="NormalWeb">
    <w:name w:val="Normal (Web)"/>
    <w:basedOn w:val="Normal"/>
    <w:uiPriority w:val="99"/>
    <w:qFormat/>
    <w:rsid w:val="00845f6c"/>
    <w:pPr>
      <w:spacing w:beforeAutospacing="1" w:afterAutospacing="1"/>
    </w:pPr>
    <w:rPr>
      <w:rFonts w:ascii="Arial Unicode MS" w:hAnsi="Arial Unicode MS" w:cs="Times New Roman"/>
      <w:sz w:val="24"/>
      <w:szCs w:val="24"/>
      <w:lang w:val="en-GB" w:eastAsia="en-US"/>
    </w:rPr>
  </w:style>
  <w:style w:type="paragraph" w:styleId="ListBullet3">
    <w:name w:val="List Bullet 3"/>
    <w:basedOn w:val="Normal"/>
    <w:qFormat/>
    <w:rsid w:val="00845f6c"/>
    <w:pPr>
      <w:widowControl w:val="false"/>
      <w:ind w:left="566" w:hanging="283"/>
    </w:pPr>
    <w:rPr>
      <w:rFonts w:ascii="Times New Roman" w:hAnsi="Times New Roman" w:cs="Times New Roman"/>
      <w:kern w:val="2"/>
      <w:sz w:val="20"/>
      <w:szCs w:val="20"/>
      <w:lang w:val="en-GB"/>
    </w:rPr>
  </w:style>
  <w:style w:type="paragraph" w:styleId="ListBullet4">
    <w:name w:val="List Bullet 4"/>
    <w:basedOn w:val="Normal"/>
    <w:qFormat/>
    <w:rsid w:val="00845f6c"/>
    <w:pPr>
      <w:widowControl w:val="false"/>
      <w:ind w:left="849" w:hanging="283"/>
    </w:pPr>
    <w:rPr>
      <w:rFonts w:ascii="Times New Roman" w:hAnsi="Times New Roman" w:cs="Times New Roman"/>
      <w:kern w:val="2"/>
      <w:sz w:val="20"/>
      <w:szCs w:val="20"/>
      <w:lang w:val="en-GB"/>
    </w:rPr>
  </w:style>
  <w:style w:type="paragraph" w:styleId="Vre">
    <w:name w:val="Footnote Text"/>
    <w:basedOn w:val="Normal"/>
    <w:link w:val="VrestekstsRakstz"/>
    <w:semiHidden/>
    <w:rsid w:val="00845f6c"/>
    <w:pPr/>
    <w:rPr>
      <w:rFonts w:ascii="Times New Roman" w:hAnsi="Times New Roman" w:cs="Times New Roman"/>
      <w:sz w:val="20"/>
      <w:szCs w:val="20"/>
      <w:lang w:val="en-US" w:eastAsia="en-US"/>
    </w:rPr>
  </w:style>
  <w:style w:type="paragraph" w:styleId="ListBullet">
    <w:name w:val="List Bullet"/>
    <w:basedOn w:val="Normal"/>
    <w:autoRedefine/>
    <w:qFormat/>
    <w:rsid w:val="00845f6c"/>
    <w:pPr>
      <w:numPr>
        <w:ilvl w:val="1"/>
        <w:numId w:val="6"/>
      </w:numPr>
      <w:jc w:val="both"/>
    </w:pPr>
    <w:rPr>
      <w:rFonts w:ascii="Times New Roman" w:hAnsi="Times New Roman" w:cs="Times New Roman"/>
      <w:sz w:val="24"/>
      <w:szCs w:val="24"/>
      <w:lang w:eastAsia="en-US"/>
    </w:rPr>
  </w:style>
  <w:style w:type="paragraph" w:styleId="Teksts2" w:customStyle="1">
    <w:name w:val="Teksts2"/>
    <w:basedOn w:val="Normal"/>
    <w:qFormat/>
    <w:rsid w:val="00845f6c"/>
    <w:pPr>
      <w:jc w:val="both"/>
    </w:pPr>
    <w:rPr>
      <w:rFonts w:ascii="Times New Roman" w:hAnsi="Times New Roman" w:cs="Times New Roman"/>
      <w:sz w:val="24"/>
      <w:szCs w:val="20"/>
      <w:lang w:eastAsia="en-US"/>
    </w:rPr>
  </w:style>
  <w:style w:type="paragraph" w:styleId="RakstzRakstz2" w:customStyle="1">
    <w:name w:val="Rakstz. Rakstz.2"/>
    <w:basedOn w:val="Normal"/>
    <w:qFormat/>
    <w:rsid w:val="00845f6c"/>
    <w:pPr>
      <w:spacing w:lineRule="exact" w:line="240" w:before="120" w:after="160"/>
      <w:ind w:firstLine="720"/>
      <w:jc w:val="both"/>
    </w:pPr>
    <w:rPr>
      <w:rFonts w:ascii="Verdana" w:hAnsi="Verdana" w:cs="Times New Roman"/>
      <w:sz w:val="20"/>
      <w:szCs w:val="20"/>
      <w:lang w:val="en-US" w:eastAsia="en-US"/>
    </w:rPr>
  </w:style>
  <w:style w:type="paragraph" w:styleId="ListParagraph">
    <w:name w:val="List Paragraph"/>
    <w:basedOn w:val="Normal"/>
    <w:link w:val="SarakstarindkopaRakstz"/>
    <w:uiPriority w:val="34"/>
    <w:qFormat/>
    <w:rsid w:val="00845f6c"/>
    <w:pPr>
      <w:spacing w:before="0" w:after="0"/>
      <w:ind w:left="720" w:hanging="0"/>
      <w:contextualSpacing/>
    </w:pPr>
    <w:rPr>
      <w:rFonts w:cs="Times New Roman"/>
      <w:sz w:val="24"/>
      <w:szCs w:val="20"/>
    </w:rPr>
  </w:style>
  <w:style w:type="paragraph" w:styleId="Nosaukum2" w:customStyle="1">
    <w:name w:val="Nosaukum 2"/>
    <w:basedOn w:val="Normal"/>
    <w:qFormat/>
    <w:rsid w:val="00845f6c"/>
    <w:pPr>
      <w:tabs>
        <w:tab w:val="clear" w:pos="567"/>
        <w:tab w:val="left" w:pos="2052" w:leader="none"/>
      </w:tabs>
      <w:ind w:left="2052" w:hanging="432"/>
    </w:pPr>
    <w:rPr>
      <w:rFonts w:ascii="Times New Roman" w:hAnsi="Times New Roman" w:cs="Times New Roman"/>
      <w:sz w:val="24"/>
      <w:szCs w:val="24"/>
      <w:lang w:val="en-US" w:eastAsia="en-US"/>
    </w:rPr>
  </w:style>
  <w:style w:type="paragraph" w:styleId="Font5" w:customStyle="1">
    <w:name w:val="font5"/>
    <w:basedOn w:val="Normal"/>
    <w:qFormat/>
    <w:rsid w:val="00845f6c"/>
    <w:pPr>
      <w:spacing w:beforeAutospacing="1" w:afterAutospacing="1"/>
    </w:pPr>
    <w:rPr>
      <w:rFonts w:ascii="Times New Roman" w:hAnsi="Times New Roman" w:cs="Times New Roman"/>
      <w:sz w:val="20"/>
      <w:szCs w:val="20"/>
    </w:rPr>
  </w:style>
  <w:style w:type="paragraph" w:styleId="Font6" w:customStyle="1">
    <w:name w:val="font6"/>
    <w:basedOn w:val="Normal"/>
    <w:qFormat/>
    <w:rsid w:val="00845f6c"/>
    <w:pPr>
      <w:spacing w:beforeAutospacing="1" w:afterAutospacing="1"/>
    </w:pPr>
    <w:rPr>
      <w:rFonts w:ascii="Times New Roman" w:hAnsi="Times New Roman" w:cs="Times New Roman"/>
      <w:color w:val="FF0000"/>
      <w:sz w:val="20"/>
      <w:szCs w:val="20"/>
    </w:rPr>
  </w:style>
  <w:style w:type="paragraph" w:styleId="Font7" w:customStyle="1">
    <w:name w:val="font7"/>
    <w:basedOn w:val="Normal"/>
    <w:qFormat/>
    <w:rsid w:val="00845f6c"/>
    <w:pPr>
      <w:spacing w:beforeAutospacing="1" w:afterAutospacing="1"/>
    </w:pPr>
    <w:rPr>
      <w:rFonts w:ascii="Times New Roman" w:hAnsi="Times New Roman" w:cs="Times New Roman"/>
      <w:b/>
      <w:bCs/>
      <w:color w:val="FF0000"/>
      <w:sz w:val="20"/>
      <w:szCs w:val="20"/>
      <w:u w:val="single"/>
    </w:rPr>
  </w:style>
  <w:style w:type="paragraph" w:styleId="Font8" w:customStyle="1">
    <w:name w:val="font8"/>
    <w:basedOn w:val="Normal"/>
    <w:qFormat/>
    <w:rsid w:val="00845f6c"/>
    <w:pPr>
      <w:spacing w:beforeAutospacing="1" w:afterAutospacing="1"/>
    </w:pPr>
    <w:rPr>
      <w:rFonts w:ascii="Times New Roman" w:hAnsi="Times New Roman" w:cs="Times New Roman"/>
      <w:i/>
      <w:iCs/>
      <w:sz w:val="20"/>
      <w:szCs w:val="20"/>
    </w:rPr>
  </w:style>
  <w:style w:type="paragraph" w:styleId="Xl66" w:customStyle="1">
    <w:name w:val="xl66"/>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pPr>
    <w:rPr>
      <w:rFonts w:ascii="Times New Roman" w:hAnsi="Times New Roman" w:cs="Times New Roman"/>
      <w:sz w:val="20"/>
      <w:szCs w:val="20"/>
    </w:rPr>
  </w:style>
  <w:style w:type="paragraph" w:styleId="Xl67" w:customStyle="1">
    <w:name w:val="xl67"/>
    <w:basedOn w:val="Normal"/>
    <w:qFormat/>
    <w:rsid w:val="00845f6c"/>
    <w:pPr>
      <w:spacing w:beforeAutospacing="1" w:afterAutospacing="1"/>
    </w:pPr>
    <w:rPr>
      <w:rFonts w:ascii="Times New Roman" w:hAnsi="Times New Roman" w:cs="Times New Roman"/>
      <w:sz w:val="20"/>
      <w:szCs w:val="20"/>
    </w:rPr>
  </w:style>
  <w:style w:type="paragraph" w:styleId="Xl68" w:customStyle="1">
    <w:name w:val="xl68"/>
    <w:basedOn w:val="Normal"/>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styleId="Xl69" w:customStyle="1">
    <w:name w:val="xl69"/>
    <w:basedOn w:val="Normal"/>
    <w:qFormat/>
    <w:rsid w:val="00845f6c"/>
    <w:pPr>
      <w:pBdr>
        <w:top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styleId="Xl70" w:customStyle="1">
    <w:name w:val="xl70"/>
    <w:basedOn w:val="Normal"/>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71" w:customStyle="1">
    <w:name w:val="xl71"/>
    <w:basedOn w:val="Normal"/>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72" w:customStyle="1">
    <w:name w:val="xl72"/>
    <w:basedOn w:val="Normal"/>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73" w:customStyle="1">
    <w:name w:val="xl73"/>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74" w:customStyle="1">
    <w:name w:val="xl74"/>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75" w:customStyle="1">
    <w:name w:val="xl75"/>
    <w:basedOn w:val="Normal"/>
    <w:qFormat/>
    <w:rsid w:val="00845f6c"/>
    <w:pPr>
      <w:pBdr>
        <w:top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76" w:customStyle="1">
    <w:name w:val="xl76"/>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77" w:customStyle="1">
    <w:name w:val="xl77"/>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78" w:customStyle="1">
    <w:name w:val="xl78"/>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79" w:customStyle="1">
    <w:name w:val="xl79"/>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80" w:customStyle="1">
    <w:name w:val="xl80"/>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81" w:customStyle="1">
    <w:name w:val="xl81"/>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82" w:customStyle="1">
    <w:name w:val="xl82"/>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83" w:customStyle="1">
    <w:name w:val="xl8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84" w:customStyle="1">
    <w:name w:val="xl84"/>
    <w:basedOn w:val="Normal"/>
    <w:qFormat/>
    <w:rsid w:val="00845f6c"/>
    <w:pPr>
      <w:spacing w:beforeAutospacing="1" w:afterAutospacing="1"/>
      <w:textAlignment w:val="top"/>
    </w:pPr>
    <w:rPr>
      <w:rFonts w:ascii="Times New Roman" w:hAnsi="Times New Roman" w:cs="Times New Roman"/>
      <w:sz w:val="20"/>
      <w:szCs w:val="20"/>
    </w:rPr>
  </w:style>
  <w:style w:type="paragraph" w:styleId="Xl85" w:customStyle="1">
    <w:name w:val="xl85"/>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styleId="Xl86" w:customStyle="1">
    <w:name w:val="xl86"/>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styleId="Xl87" w:customStyle="1">
    <w:name w:val="xl87"/>
    <w:basedOn w:val="Normal"/>
    <w:qFormat/>
    <w:rsid w:val="00845f6c"/>
    <w:pPr>
      <w:spacing w:beforeAutospacing="1" w:afterAutospacing="1"/>
      <w:jc w:val="center"/>
    </w:pPr>
    <w:rPr>
      <w:rFonts w:ascii="Times New Roman" w:hAnsi="Times New Roman" w:cs="Times New Roman"/>
      <w:sz w:val="20"/>
      <w:szCs w:val="20"/>
    </w:rPr>
  </w:style>
  <w:style w:type="paragraph" w:styleId="Xl88" w:customStyle="1">
    <w:name w:val="xl8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styleId="Xl89" w:customStyle="1">
    <w:name w:val="xl89"/>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90" w:customStyle="1">
    <w:name w:val="xl90"/>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91" w:customStyle="1">
    <w:name w:val="xl91"/>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92" w:customStyle="1">
    <w:name w:val="xl92"/>
    <w:basedOn w:val="Normal"/>
    <w:qFormat/>
    <w:rsid w:val="00845f6c"/>
    <w:pPr>
      <w:spacing w:beforeAutospacing="1" w:afterAutospacing="1"/>
      <w:textAlignment w:val="top"/>
    </w:pPr>
    <w:rPr>
      <w:rFonts w:ascii="Times New Roman" w:hAnsi="Times New Roman" w:cs="Times New Roman"/>
      <w:sz w:val="20"/>
      <w:szCs w:val="20"/>
    </w:rPr>
  </w:style>
  <w:style w:type="paragraph" w:styleId="Xl93" w:customStyle="1">
    <w:name w:val="xl93"/>
    <w:basedOn w:val="Normal"/>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94" w:customStyle="1">
    <w:name w:val="xl94"/>
    <w:basedOn w:val="Normal"/>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95" w:customStyle="1">
    <w:name w:val="xl95"/>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96" w:customStyle="1">
    <w:name w:val="xl96"/>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97" w:customStyle="1">
    <w:name w:val="xl97"/>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98" w:customStyle="1">
    <w:name w:val="xl9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99" w:customStyle="1">
    <w:name w:val="xl99"/>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00" w:customStyle="1">
    <w:name w:val="xl100"/>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01" w:customStyle="1">
    <w:name w:val="xl101"/>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02" w:customStyle="1">
    <w:name w:val="xl102"/>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03" w:customStyle="1">
    <w:name w:val="xl10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04" w:customStyle="1">
    <w:name w:val="xl104"/>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05" w:customStyle="1">
    <w:name w:val="xl105"/>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06" w:customStyle="1">
    <w:name w:val="xl106"/>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07" w:customStyle="1">
    <w:name w:val="xl107"/>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08" w:customStyle="1">
    <w:name w:val="xl10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09" w:customStyle="1">
    <w:name w:val="xl109"/>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10" w:customStyle="1">
    <w:name w:val="xl110"/>
    <w:basedOn w:val="Normal"/>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11" w:customStyle="1">
    <w:name w:val="xl111"/>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b/>
      <w:bCs/>
      <w:sz w:val="20"/>
      <w:szCs w:val="20"/>
    </w:rPr>
  </w:style>
  <w:style w:type="paragraph" w:styleId="Xl112" w:customStyle="1">
    <w:name w:val="xl112"/>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13" w:customStyle="1">
    <w:name w:val="xl113"/>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14" w:customStyle="1">
    <w:name w:val="xl114"/>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styleId="Xl115" w:customStyle="1">
    <w:name w:val="xl115"/>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styleId="Xl116" w:customStyle="1">
    <w:name w:val="xl116"/>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styleId="Xl117" w:customStyle="1">
    <w:name w:val="xl117"/>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styleId="Xl118" w:customStyle="1">
    <w:name w:val="xl118"/>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19" w:customStyle="1">
    <w:name w:val="xl119"/>
    <w:basedOn w:val="Normal"/>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20" w:customStyle="1">
    <w:name w:val="xl120"/>
    <w:basedOn w:val="Normal"/>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21" w:customStyle="1">
    <w:name w:val="xl121"/>
    <w:basedOn w:val="Normal"/>
    <w:qFormat/>
    <w:rsid w:val="00845f6c"/>
    <w:pPr>
      <w:pBdr>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22" w:customStyle="1">
    <w:name w:val="xl122"/>
    <w:basedOn w:val="Normal"/>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23" w:customStyle="1">
    <w:name w:val="xl123"/>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styleId="Xl124" w:customStyle="1">
    <w:name w:val="xl124"/>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25" w:customStyle="1">
    <w:name w:val="xl125"/>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26" w:customStyle="1">
    <w:name w:val="xl126"/>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27" w:customStyle="1">
    <w:name w:val="xl127"/>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28" w:customStyle="1">
    <w:name w:val="xl128"/>
    <w:basedOn w:val="Normal"/>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29" w:customStyle="1">
    <w:name w:val="xl129"/>
    <w:basedOn w:val="Normal"/>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30" w:customStyle="1">
    <w:name w:val="xl130"/>
    <w:basedOn w:val="Normal"/>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31" w:customStyle="1">
    <w:name w:val="xl131"/>
    <w:basedOn w:val="Normal"/>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32" w:customStyle="1">
    <w:name w:val="xl132"/>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33" w:customStyle="1">
    <w:name w:val="xl133"/>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34" w:customStyle="1">
    <w:name w:val="xl134"/>
    <w:basedOn w:val="Normal"/>
    <w:qFormat/>
    <w:rsid w:val="00845f6c"/>
    <w:pPr>
      <w:pBdr>
        <w:top w:val="single" w:sz="4" w:space="0" w:color="000000"/>
        <w:left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35" w:customStyle="1">
    <w:name w:val="xl135"/>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styleId="Xl136" w:customStyle="1">
    <w:name w:val="xl136"/>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37" w:customStyle="1">
    <w:name w:val="xl137"/>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000000"/>
      <w:sz w:val="20"/>
      <w:szCs w:val="20"/>
    </w:rPr>
  </w:style>
  <w:style w:type="paragraph" w:styleId="Xl138" w:customStyle="1">
    <w:name w:val="xl138"/>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39" w:customStyle="1">
    <w:name w:val="xl139"/>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40" w:customStyle="1">
    <w:name w:val="xl140"/>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41" w:customStyle="1">
    <w:name w:val="xl141"/>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FF0000"/>
      <w:sz w:val="20"/>
      <w:szCs w:val="20"/>
    </w:rPr>
  </w:style>
  <w:style w:type="paragraph" w:styleId="Xl142" w:customStyle="1">
    <w:name w:val="xl142"/>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styleId="Xl143" w:customStyle="1">
    <w:name w:val="xl143"/>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styleId="Xl144" w:customStyle="1">
    <w:name w:val="xl144"/>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color w:val="000000"/>
      <w:sz w:val="20"/>
      <w:szCs w:val="20"/>
    </w:rPr>
  </w:style>
  <w:style w:type="paragraph" w:styleId="Xl145" w:customStyle="1">
    <w:name w:val="xl145"/>
    <w:basedOn w:val="Normal"/>
    <w:qFormat/>
    <w:rsid w:val="00845f6c"/>
    <w:pPr>
      <w:pBdr>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46" w:customStyle="1">
    <w:name w:val="xl146"/>
    <w:basedOn w:val="Normal"/>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47" w:customStyle="1">
    <w:name w:val="xl147"/>
    <w:basedOn w:val="Normal"/>
    <w:qFormat/>
    <w:rsid w:val="00845f6c"/>
    <w:pPr>
      <w:pBdr>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styleId="Xl148" w:customStyle="1">
    <w:name w:val="xl148"/>
    <w:basedOn w:val="Normal"/>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49" w:customStyle="1">
    <w:name w:val="xl149"/>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50" w:customStyle="1">
    <w:name w:val="xl150"/>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51" w:customStyle="1">
    <w:name w:val="xl151"/>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52" w:customStyle="1">
    <w:name w:val="xl152"/>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53" w:customStyle="1">
    <w:name w:val="xl153"/>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styleId="Xl154" w:customStyle="1">
    <w:name w:val="xl154"/>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155" w:customStyle="1">
    <w:name w:val="xl155"/>
    <w:basedOn w:val="Normal"/>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styleId="Xl156" w:customStyle="1">
    <w:name w:val="xl156"/>
    <w:basedOn w:val="Normal"/>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57" w:customStyle="1">
    <w:name w:val="xl157"/>
    <w:basedOn w:val="Normal"/>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58" w:customStyle="1">
    <w:name w:val="xl15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59" w:customStyle="1">
    <w:name w:val="xl159"/>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60" w:customStyle="1">
    <w:name w:val="xl160"/>
    <w:basedOn w:val="Normal"/>
    <w:qFormat/>
    <w:rsid w:val="00845f6c"/>
    <w:pPr>
      <w:pBdr>
        <w:top w:val="single" w:sz="4" w:space="0" w:color="000000"/>
        <w:left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61" w:customStyle="1">
    <w:name w:val="xl161"/>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62" w:customStyle="1">
    <w:name w:val="xl162"/>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63" w:customStyle="1">
    <w:name w:val="xl163"/>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64" w:customStyle="1">
    <w:name w:val="xl164"/>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65" w:customStyle="1">
    <w:name w:val="xl165"/>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66" w:customStyle="1">
    <w:name w:val="xl166"/>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67" w:customStyle="1">
    <w:name w:val="xl167"/>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68" w:customStyle="1">
    <w:name w:val="xl168"/>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69" w:customStyle="1">
    <w:name w:val="xl169"/>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70" w:customStyle="1">
    <w:name w:val="xl170"/>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71" w:customStyle="1">
    <w:name w:val="xl171"/>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72" w:customStyle="1">
    <w:name w:val="xl172"/>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73" w:customStyle="1">
    <w:name w:val="xl173"/>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styleId="Xl174" w:customStyle="1">
    <w:name w:val="xl174"/>
    <w:basedOn w:val="Normal"/>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styleId="Xl175" w:customStyle="1">
    <w:name w:val="xl175"/>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76" w:customStyle="1">
    <w:name w:val="xl176"/>
    <w:basedOn w:val="Normal"/>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styleId="Xl177" w:customStyle="1">
    <w:name w:val="xl177"/>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styleId="Xl178" w:customStyle="1">
    <w:name w:val="xl178"/>
    <w:basedOn w:val="Normal"/>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styleId="Xl179" w:customStyle="1">
    <w:name w:val="xl179"/>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80" w:customStyle="1">
    <w:name w:val="xl180"/>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81" w:customStyle="1">
    <w:name w:val="xl181"/>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182" w:customStyle="1">
    <w:name w:val="xl182"/>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83" w:customStyle="1">
    <w:name w:val="xl18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84" w:customStyle="1">
    <w:name w:val="xl184"/>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85" w:customStyle="1">
    <w:name w:val="xl185"/>
    <w:basedOn w:val="Normal"/>
    <w:qFormat/>
    <w:rsid w:val="00845f6c"/>
    <w:pPr>
      <w:pBdr>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86" w:customStyle="1">
    <w:name w:val="xl186"/>
    <w:basedOn w:val="Normal"/>
    <w:qFormat/>
    <w:rsid w:val="00845f6c"/>
    <w:pPr>
      <w:pBdr>
        <w:top w:val="single" w:sz="4" w:space="0" w:color="000000"/>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87" w:customStyle="1">
    <w:name w:val="xl187"/>
    <w:basedOn w:val="Normal"/>
    <w:qFormat/>
    <w:rsid w:val="00845f6c"/>
    <w:pPr>
      <w:pBdr>
        <w:top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styleId="Xl188" w:customStyle="1">
    <w:name w:val="xl188"/>
    <w:basedOn w:val="Normal"/>
    <w:qFormat/>
    <w:rsid w:val="00845f6c"/>
    <w:pPr>
      <w:pBdr>
        <w:top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189" w:customStyle="1">
    <w:name w:val="xl189"/>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90" w:customStyle="1">
    <w:name w:val="xl190"/>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91" w:customStyle="1">
    <w:name w:val="xl191"/>
    <w:basedOn w:val="Normal"/>
    <w:qFormat/>
    <w:rsid w:val="00845f6c"/>
    <w:pPr>
      <w:pBdr>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styleId="Xl192" w:customStyle="1">
    <w:name w:val="xl192"/>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193" w:customStyle="1">
    <w:name w:val="xl19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94" w:customStyle="1">
    <w:name w:val="xl194"/>
    <w:basedOn w:val="Normal"/>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styleId="Xl195" w:customStyle="1">
    <w:name w:val="xl195"/>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196" w:customStyle="1">
    <w:name w:val="xl196"/>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197" w:customStyle="1">
    <w:name w:val="xl197"/>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198" w:customStyle="1">
    <w:name w:val="xl19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styleId="Xl199" w:customStyle="1">
    <w:name w:val="xl199"/>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200" w:customStyle="1">
    <w:name w:val="xl200"/>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201" w:customStyle="1">
    <w:name w:val="xl201"/>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styleId="Xl202" w:customStyle="1">
    <w:name w:val="xl202"/>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b/>
      <w:bCs/>
      <w:color w:val="FF0000"/>
      <w:sz w:val="20"/>
      <w:szCs w:val="20"/>
      <w:u w:val="single"/>
    </w:rPr>
  </w:style>
  <w:style w:type="paragraph" w:styleId="Xl203" w:customStyle="1">
    <w:name w:val="xl203"/>
    <w:basedOn w:val="Normal"/>
    <w:qFormat/>
    <w:rsid w:val="00845f6c"/>
    <w:pPr>
      <w:pBdr>
        <w:top w:val="single" w:sz="4" w:space="0" w:color="000000"/>
        <w:left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styleId="Xl204" w:customStyle="1">
    <w:name w:val="xl204"/>
    <w:basedOn w:val="Normal"/>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205" w:customStyle="1">
    <w:name w:val="xl205"/>
    <w:basedOn w:val="Normal"/>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206" w:customStyle="1">
    <w:name w:val="xl206"/>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styleId="Xl207" w:customStyle="1">
    <w:name w:val="xl207"/>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208" w:customStyle="1">
    <w:name w:val="xl208"/>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209" w:customStyle="1">
    <w:name w:val="xl209"/>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210" w:customStyle="1">
    <w:name w:val="xl210"/>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211" w:customStyle="1">
    <w:name w:val="xl211"/>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212" w:customStyle="1">
    <w:name w:val="xl212"/>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styleId="Xl213" w:customStyle="1">
    <w:name w:val="xl21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styleId="Xl214" w:customStyle="1">
    <w:name w:val="xl214"/>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styleId="Xl215" w:customStyle="1">
    <w:name w:val="xl215"/>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i/>
      <w:iCs/>
      <w:sz w:val="20"/>
      <w:szCs w:val="20"/>
    </w:rPr>
  </w:style>
  <w:style w:type="paragraph" w:styleId="Xl216" w:customStyle="1">
    <w:name w:val="xl216"/>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217" w:customStyle="1">
    <w:name w:val="xl217"/>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218" w:customStyle="1">
    <w:name w:val="xl21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styleId="Xl219" w:customStyle="1">
    <w:name w:val="xl219"/>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styleId="Xl220" w:customStyle="1">
    <w:name w:val="xl220"/>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21" w:customStyle="1">
    <w:name w:val="xl221"/>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22" w:customStyle="1">
    <w:name w:val="xl222"/>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23" w:customStyle="1">
    <w:name w:val="xl223"/>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24" w:customStyle="1">
    <w:name w:val="xl224"/>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25" w:customStyle="1">
    <w:name w:val="xl225"/>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26" w:customStyle="1">
    <w:name w:val="xl226"/>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27" w:customStyle="1">
    <w:name w:val="xl227"/>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28" w:customStyle="1">
    <w:name w:val="xl228"/>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29" w:customStyle="1">
    <w:name w:val="xl229"/>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30" w:customStyle="1">
    <w:name w:val="xl230"/>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31" w:customStyle="1">
    <w:name w:val="xl231"/>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32" w:customStyle="1">
    <w:name w:val="xl232"/>
    <w:basedOn w:val="Normal"/>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33" w:customStyle="1">
    <w:name w:val="xl233"/>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styleId="Xl234" w:customStyle="1">
    <w:name w:val="xl234"/>
    <w:basedOn w:val="Normal"/>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styleId="Xl235" w:customStyle="1">
    <w:name w:val="xl235"/>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styleId="Xl236" w:customStyle="1">
    <w:name w:val="xl236"/>
    <w:basedOn w:val="Normal"/>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styleId="Xl237" w:customStyle="1">
    <w:name w:val="xl237"/>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styleId="Xl238" w:customStyle="1">
    <w:name w:val="xl238"/>
    <w:basedOn w:val="Normal"/>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styleId="Xl239" w:customStyle="1">
    <w:name w:val="xl239"/>
    <w:basedOn w:val="Normal"/>
    <w:qFormat/>
    <w:rsid w:val="00845f6c"/>
    <w:pPr>
      <w:pBdr>
        <w:top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styleId="Xl240" w:customStyle="1">
    <w:name w:val="xl240"/>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241" w:customStyle="1">
    <w:name w:val="xl241"/>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42" w:customStyle="1">
    <w:name w:val="xl242"/>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styleId="Xl243" w:customStyle="1">
    <w:name w:val="xl243"/>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44" w:customStyle="1">
    <w:name w:val="xl244"/>
    <w:basedOn w:val="Normal"/>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45" w:customStyle="1">
    <w:name w:val="xl245"/>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46" w:customStyle="1">
    <w:name w:val="xl246"/>
    <w:basedOn w:val="Normal"/>
    <w:qFormat/>
    <w:rsid w:val="00845f6c"/>
    <w:pPr>
      <w:pBdr>
        <w:top w:val="single" w:sz="8"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styleId="Xl247" w:customStyle="1">
    <w:name w:val="xl247"/>
    <w:basedOn w:val="Normal"/>
    <w:qFormat/>
    <w:rsid w:val="00845f6c"/>
    <w:pPr>
      <w:pBdr>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48" w:customStyle="1">
    <w:name w:val="xl248"/>
    <w:basedOn w:val="Normal"/>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both"/>
      <w:textAlignment w:val="top"/>
    </w:pPr>
    <w:rPr>
      <w:rFonts w:ascii="Times New Roman" w:hAnsi="Times New Roman" w:cs="Times New Roman"/>
      <w:sz w:val="20"/>
      <w:szCs w:val="20"/>
    </w:rPr>
  </w:style>
  <w:style w:type="paragraph" w:styleId="Xl249" w:customStyle="1">
    <w:name w:val="xl249"/>
    <w:basedOn w:val="Normal"/>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styleId="Xl250" w:customStyle="1">
    <w:name w:val="xl250"/>
    <w:basedOn w:val="Normal"/>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styleId="Xl251" w:customStyle="1">
    <w:name w:val="xl251"/>
    <w:basedOn w:val="Normal"/>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Xl252" w:customStyle="1">
    <w:name w:val="xl252"/>
    <w:basedOn w:val="Normal"/>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styleId="T2" w:customStyle="1">
    <w:name w:val="t2"/>
    <w:basedOn w:val="Normal"/>
    <w:qFormat/>
    <w:rsid w:val="00845f6c"/>
    <w:pPr>
      <w:numPr>
        <w:ilvl w:val="2"/>
        <w:numId w:val="7"/>
      </w:numPr>
      <w:jc w:val="both"/>
    </w:pPr>
    <w:rPr>
      <w:rFonts w:ascii="Tahoma" w:hAnsi="Tahoma" w:cs="Times New Roman"/>
      <w:sz w:val="20"/>
      <w:szCs w:val="24"/>
      <w:lang w:val="en-US" w:eastAsia="en-US"/>
    </w:rPr>
  </w:style>
  <w:style w:type="paragraph" w:styleId="T1a" w:customStyle="1">
    <w:name w:val="t1a"/>
    <w:basedOn w:val="Normal"/>
    <w:qFormat/>
    <w:rsid w:val="00845f6c"/>
    <w:pPr>
      <w:tabs>
        <w:tab w:val="left" w:pos="567" w:leader="none"/>
      </w:tabs>
      <w:ind w:left="567" w:hanging="567"/>
      <w:jc w:val="both"/>
    </w:pPr>
    <w:rPr>
      <w:rFonts w:ascii="Tahoma" w:hAnsi="Tahoma" w:cs="Times New Roman"/>
      <w:bCs/>
      <w:sz w:val="20"/>
      <w:szCs w:val="24"/>
      <w:lang w:val="en-GB" w:eastAsia="en-US"/>
    </w:rPr>
  </w:style>
  <w:style w:type="paragraph" w:styleId="Annotationtext">
    <w:name w:val="annotation text"/>
    <w:basedOn w:val="Normal"/>
    <w:link w:val="KomentratekstsRakstz"/>
    <w:semiHidden/>
    <w:qFormat/>
    <w:rsid w:val="00845f6c"/>
    <w:pPr/>
    <w:rPr>
      <w:sz w:val="20"/>
      <w:szCs w:val="20"/>
    </w:rPr>
  </w:style>
  <w:style w:type="paragraph" w:styleId="BalloonText">
    <w:name w:val="Balloon Text"/>
    <w:basedOn w:val="Normal"/>
    <w:link w:val="BalontekstsRakstz"/>
    <w:semiHidden/>
    <w:qFormat/>
    <w:rsid w:val="00845f6c"/>
    <w:pPr/>
    <w:rPr>
      <w:rFonts w:ascii="Tahoma" w:hAnsi="Tahoma" w:cs="Tahoma"/>
      <w:sz w:val="16"/>
      <w:szCs w:val="16"/>
    </w:rPr>
  </w:style>
  <w:style w:type="paragraph" w:styleId="Tvhtml" w:customStyle="1">
    <w:name w:val="tv_html"/>
    <w:basedOn w:val="Normal"/>
    <w:qFormat/>
    <w:rsid w:val="00845f6c"/>
    <w:pPr>
      <w:spacing w:beforeAutospacing="1" w:afterAutospacing="1"/>
    </w:pPr>
    <w:rPr>
      <w:rFonts w:ascii="Verdana" w:hAnsi="Verdana" w:cs="Times New Roman"/>
      <w:sz w:val="18"/>
      <w:szCs w:val="18"/>
    </w:rPr>
  </w:style>
  <w:style w:type="paragraph" w:styleId="Tv213" w:customStyle="1">
    <w:name w:val="tv213"/>
    <w:basedOn w:val="Normal"/>
    <w:qFormat/>
    <w:rsid w:val="00845f6c"/>
    <w:pPr>
      <w:spacing w:beforeAutospacing="1" w:afterAutospacing="1"/>
    </w:pPr>
    <w:rPr>
      <w:rFonts w:ascii="Verdana" w:hAnsi="Verdana" w:cs="Times New Roman"/>
      <w:sz w:val="18"/>
      <w:szCs w:val="18"/>
    </w:rPr>
  </w:style>
  <w:style w:type="paragraph" w:styleId="Tv2131" w:customStyle="1">
    <w:name w:val="tv2131"/>
    <w:basedOn w:val="Normal"/>
    <w:qFormat/>
    <w:rsid w:val="00845f6c"/>
    <w:pPr>
      <w:spacing w:lineRule="auto" w:line="360"/>
      <w:ind w:firstLine="300"/>
    </w:pPr>
    <w:rPr>
      <w:rFonts w:ascii="Times New Roman" w:hAnsi="Times New Roman" w:cs="Times New Roman"/>
      <w:color w:val="414142"/>
      <w:sz w:val="20"/>
      <w:szCs w:val="20"/>
    </w:rPr>
  </w:style>
  <w:style w:type="paragraph" w:styleId="CharCharCharCharCharCharCharCharRakstzRakstzCharCharRakstzRakstz" w:customStyle="1">
    <w:name w:val="Char Char Char Char Char Char Char Char Rakstz. Rakstz. Char Char Rakstz. Rakstz."/>
    <w:basedOn w:val="Normal"/>
    <w:next w:val="BlockText"/>
    <w:qFormat/>
    <w:rsid w:val="00845f6c"/>
    <w:pPr>
      <w:spacing w:lineRule="exact" w:line="240" w:before="120" w:after="160"/>
      <w:ind w:firstLine="720"/>
      <w:jc w:val="both"/>
    </w:pPr>
    <w:rPr>
      <w:rFonts w:ascii="Verdana" w:hAnsi="Verdana" w:cs="Times New Roman"/>
      <w:sz w:val="20"/>
      <w:szCs w:val="20"/>
      <w:lang w:val="en-US" w:eastAsia="en-US"/>
    </w:rPr>
  </w:style>
  <w:style w:type="paragraph" w:styleId="PlainText">
    <w:name w:val="Plain Text"/>
    <w:basedOn w:val="Normal"/>
    <w:link w:val="VienkrstekstsRakstz"/>
    <w:uiPriority w:val="99"/>
    <w:unhideWhenUsed/>
    <w:qFormat/>
    <w:rsid w:val="00845f6c"/>
    <w:pPr/>
    <w:rPr>
      <w:rFonts w:ascii="Calibri" w:hAnsi="Calibri" w:eastAsia="Calibri" w:cs="Times New Roman"/>
      <w:szCs w:val="21"/>
      <w:lang w:eastAsia="en-US"/>
    </w:rPr>
  </w:style>
  <w:style w:type="paragraph" w:styleId="Style9" w:customStyle="1">
    <w:name w:val="Style9"/>
    <w:basedOn w:val="Normal"/>
    <w:qFormat/>
    <w:rsid w:val="0092482b"/>
    <w:pPr>
      <w:widowControl w:val="false"/>
      <w:spacing w:lineRule="exact" w:line="230"/>
      <w:jc w:val="center"/>
    </w:pPr>
    <w:rPr>
      <w:rFonts w:ascii="Century Gothic" w:hAnsi="Century Gothic" w:cs="Century Gothic"/>
      <w:sz w:val="24"/>
      <w:szCs w:val="24"/>
    </w:rPr>
  </w:style>
  <w:style w:type="paragraph" w:styleId="HTMLPreformatted">
    <w:name w:val="HTML Preformatted"/>
    <w:basedOn w:val="Normal"/>
    <w:link w:val="HTMLiepriekformattaisRakstz"/>
    <w:uiPriority w:val="99"/>
    <w:unhideWhenUsed/>
    <w:qFormat/>
    <w:rsid w:val="008329d1"/>
    <w:pPr>
      <w:tabs>
        <w:tab w:val="clear" w:pos="567"/>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Default" w:customStyle="1">
    <w:name w:val="Default"/>
    <w:qFormat/>
    <w:rsid w:val="0087052d"/>
    <w:pPr>
      <w:widowControl/>
      <w:suppressAutoHyphens w:val="true"/>
      <w:bidi w:val="0"/>
      <w:spacing w:before="0" w:after="0"/>
      <w:jc w:val="left"/>
    </w:pPr>
    <w:rPr>
      <w:rFonts w:ascii="Times New Roman" w:hAnsi="Times New Roman" w:eastAsia="Times New Roman" w:cs="Times New Roman"/>
      <w:color w:val="000000"/>
      <w:kern w:val="0"/>
      <w:sz w:val="24"/>
      <w:szCs w:val="24"/>
      <w:lang w:eastAsia="lv-LV" w:val="lv-LV" w:bidi="ar-SA"/>
    </w:rPr>
  </w:style>
  <w:style w:type="paragraph" w:styleId="Ietvarasaturs" w:customStyle="1">
    <w:name w:val="Ietvara saturs"/>
    <w:basedOn w:val="Normal"/>
    <w:qFormat/>
    <w:pPr/>
    <w:rPr/>
  </w:style>
  <w:style w:type="paragraph" w:styleId="Naisnod" w:customStyle="1">
    <w:name w:val="naisnod"/>
    <w:basedOn w:val="Normal"/>
    <w:qFormat/>
    <w:pPr>
      <w:spacing w:before="150" w:after="150"/>
      <w:jc w:val="center"/>
    </w:pPr>
    <w:rPr>
      <w:rFonts w:cs="Times New Roman"/>
      <w:b/>
      <w:bCs/>
    </w:rPr>
  </w:style>
  <w:style w:type="paragraph" w:styleId="Parasts2" w:customStyle="1">
    <w:name w:val="Parasts2"/>
    <w:qFormat/>
    <w:pPr>
      <w:widowControl/>
      <w:suppressAutoHyphens w:val="true"/>
      <w:bidi w:val="0"/>
      <w:spacing w:lineRule="auto" w:line="259" w:before="0" w:after="0"/>
      <w:jc w:val="left"/>
      <w:textAlignment w:val="baseline"/>
    </w:pPr>
    <w:rPr>
      <w:rFonts w:ascii="Calibri" w:hAnsi="Calibri" w:eastAsia="Calibri" w:cs="" w:asciiTheme="minorHAnsi" w:cstheme="minorBidi" w:eastAsiaTheme="minorHAnsi" w:hAnsiTheme="minorHAnsi"/>
      <w:color w:val="auto"/>
      <w:kern w:val="0"/>
      <w:sz w:val="24"/>
      <w:szCs w:val="24"/>
      <w:lang w:val="lv-LV" w:eastAsia="en-US" w:bidi="ar-SA"/>
    </w:rPr>
  </w:style>
  <w:style w:type="paragraph" w:styleId="Vresteksts1" w:customStyle="1">
    <w:name w:val="Vēres teksts1"/>
    <w:basedOn w:val="Parasts2"/>
    <w:qFormat/>
    <w:pPr>
      <w:suppressAutoHyphens w:val="false"/>
      <w:textAlignment w:val="auto"/>
    </w:pPr>
    <w:rPr>
      <w:rFonts w:eastAsia="Calibri"/>
      <w:sz w:val="20"/>
      <w:szCs w:val="20"/>
    </w:rPr>
  </w:style>
  <w:style w:type="paragraph" w:styleId="Saturardtjs" w:customStyle="1">
    <w:name w:val="Satura rādītājs"/>
    <w:basedOn w:val="Normal"/>
    <w:qFormat/>
    <w:pPr>
      <w:widowControl w:val="false"/>
      <w:suppressLineNumbers/>
    </w:pPr>
    <w:rPr/>
  </w:style>
  <w:style w:type="paragraph" w:styleId="Tabulasvirsraksts" w:customStyle="1">
    <w:name w:val="Tabulas virsraksts"/>
    <w:basedOn w:val="Saturardtjs"/>
    <w:qFormat/>
    <w:pPr>
      <w:jc w:val="center"/>
    </w:pPr>
    <w:rPr>
      <w:b/>
      <w:bCs/>
    </w:rPr>
  </w:style>
  <w:style w:type="numbering" w:styleId="NoList" w:default="1">
    <w:name w:val="No List"/>
    <w:uiPriority w:val="99"/>
    <w:semiHidden/>
    <w:unhideWhenUsed/>
    <w:qFormat/>
  </w:style>
  <w:style w:type="numbering" w:styleId="Style11" w:customStyle="1">
    <w:name w:val="Style1"/>
    <w:qFormat/>
    <w:rsid w:val="00845f6c"/>
  </w:style>
  <w:style w:type="table" w:default="1" w:styleId="Parastatabula">
    <w:name w:val="Normal Table"/>
    <w:uiPriority w:val="99"/>
    <w:semiHidden/>
    <w:unhideWhenUsed/>
    <w:tblPr>
      <w:tblCellMar>
        <w:top w:w="0" w:type="dxa"/>
        <w:left w:w="108" w:type="dxa"/>
        <w:bottom w:w="0" w:type="dxa"/>
        <w:right w:w="108" w:type="dxa"/>
      </w:tblCellMar>
    </w:tblPr>
  </w:style>
  <w:style w:type="table" w:styleId="Reatabula">
    <w:name w:val="Table Grid"/>
    <w:basedOn w:val="Parastatabula"/>
    <w:rsid w:val="00845f6c"/>
    <w:rPr>
      <w:lang w:eastAsia="lv-LV"/>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Reatabula1">
    <w:name w:val="Režģa tabula1"/>
    <w:basedOn w:val="Parastatabula"/>
    <w:uiPriority w:val="39"/>
    <w:rsid w:val="00b90e2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Reatabula2">
    <w:name w:val="Režģa tabula2"/>
    <w:basedOn w:val="Parastatabula"/>
    <w:uiPriority w:val="39"/>
    <w:rsid w:val="0078239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Reatabula3">
    <w:name w:val="Režģa tabula3"/>
    <w:basedOn w:val="Parastatabula"/>
    <w:uiPriority w:val="39"/>
    <w:rsid w:val="00a6525f"/>
    <w:rPr>
      <w:sz w:val="28"/>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Reatabula4">
    <w:name w:val="Režģa tabula4"/>
    <w:basedOn w:val="Parastatabula"/>
    <w:uiPriority w:val="39"/>
    <w:rsid w:val="0050783a"/>
    <w:rPr>
      <w:sz w:val="28"/>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epirkumi@limbazunovads.lv" TargetMode="External"/><Relationship Id="rId3" Type="http://schemas.openxmlformats.org/officeDocument/2006/relationships/hyperlink" Target="http://www.limbazunovads.lv/" TargetMode="External"/><Relationship Id="rId4" Type="http://schemas.openxmlformats.org/officeDocument/2006/relationships/hyperlink" Target="http://www.eis.gov.lv/" TargetMode="External"/><Relationship Id="rId5" Type="http://schemas.openxmlformats.org/officeDocument/2006/relationships/hyperlink" Target="file:///D:/Users/Aigars/Downloads/_blank" TargetMode="External"/><Relationship Id="rId6" Type="http://schemas.openxmlformats.org/officeDocument/2006/relationships/hyperlink" Target="https://m.likumi.lv/ta/id/55567-administrativa-procesa-likums"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yperlink" Target="mailto:pasts@limbazunovads.lv" TargetMode="External"/><Relationship Id="rId14" Type="http://schemas.openxmlformats.org/officeDocument/2006/relationships/hyperlink" Target="mailto:liga.vilcinska@limbazunovads.lv" TargetMode="External"/><Relationship Id="rId15" Type="http://schemas.openxmlformats.org/officeDocument/2006/relationships/header" Target="header2.xml"/><Relationship Id="rId16" Type="http://schemas.openxmlformats.org/officeDocument/2006/relationships/footer" Target="footer3.xml"/><Relationship Id="rId17" Type="http://schemas.openxmlformats.org/officeDocument/2006/relationships/header" Target="header3.xml"/><Relationship Id="rId18" Type="http://schemas.openxmlformats.org/officeDocument/2006/relationships/footer" Target="footer4.xml"/><Relationship Id="rId19" Type="http://schemas.openxmlformats.org/officeDocument/2006/relationships/header" Target="header4.xml"/><Relationship Id="rId20" Type="http://schemas.openxmlformats.org/officeDocument/2006/relationships/footer" Target="footer5.xml"/><Relationship Id="rId21" Type="http://schemas.openxmlformats.org/officeDocument/2006/relationships/footnotes" Target="footnotes.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7BF2F-8A76-4663-814B-0F145F14B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Application>LibreOffice/7.4.1.2$Windows_X86_64 LibreOffice_project/3c58a8f3a960df8bc8fd77b461821e42c061c5f0</Application>
  <AppVersion>15.0000</AppVersion>
  <Pages>29</Pages>
  <Words>8878</Words>
  <Characters>64987</Characters>
  <CharactersWithSpaces>73716</CharactersWithSpaces>
  <Paragraphs>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dc:description/>
  <dc:language>lv-LV</dc:language>
  <cp:lastModifiedBy/>
  <dcterms:modified xsi:type="dcterms:W3CDTF">2024-01-16T23:08:16Z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