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A914E" w14:textId="77777777" w:rsidR="006A0F3E" w:rsidRDefault="006A0F3E" w:rsidP="006A0F3E">
      <w:pPr>
        <w:autoSpaceDE w:val="0"/>
        <w:autoSpaceDN w:val="0"/>
        <w:adjustRightInd w:val="0"/>
        <w:jc w:val="center"/>
        <w:rPr>
          <w:bCs/>
          <w:sz w:val="22"/>
          <w:szCs w:val="22"/>
          <w:lang w:val="lv-LV"/>
        </w:rPr>
      </w:pPr>
      <w:r>
        <w:rPr>
          <w:bCs/>
          <w:sz w:val="22"/>
          <w:szCs w:val="22"/>
          <w:lang w:val="lv-LV"/>
        </w:rPr>
        <w:t>Atklāts konkurss</w:t>
      </w:r>
    </w:p>
    <w:p w14:paraId="73E52AF5" w14:textId="77777777" w:rsidR="006A0F3E" w:rsidRDefault="006A0F3E" w:rsidP="006A0F3E">
      <w:pPr>
        <w:jc w:val="center"/>
        <w:rPr>
          <w:rFonts w:eastAsia="Calibri"/>
          <w:sz w:val="22"/>
          <w:szCs w:val="22"/>
          <w:lang w:val="lv-LV"/>
        </w:rPr>
      </w:pPr>
      <w:r>
        <w:rPr>
          <w:rFonts w:eastAsia="Calibri"/>
          <w:b/>
          <w:bCs/>
          <w:sz w:val="22"/>
          <w:szCs w:val="22"/>
          <w:lang w:val="lv-LV"/>
        </w:rPr>
        <w:t>“</w:t>
      </w:r>
      <w:r>
        <w:rPr>
          <w:b/>
          <w:sz w:val="22"/>
          <w:szCs w:val="22"/>
          <w:lang w:val="lv-LV" w:eastAsia="lv-LV"/>
        </w:rPr>
        <w:t xml:space="preserve">Sabiedriskā transporta pieturvietu nojumju iegāde Rīgas </w:t>
      </w:r>
      <w:proofErr w:type="spellStart"/>
      <w:r>
        <w:rPr>
          <w:b/>
          <w:sz w:val="22"/>
          <w:szCs w:val="22"/>
          <w:lang w:val="lv-LV" w:eastAsia="lv-LV"/>
        </w:rPr>
        <w:t>valstspilsētas</w:t>
      </w:r>
      <w:proofErr w:type="spellEnd"/>
      <w:r>
        <w:rPr>
          <w:b/>
          <w:sz w:val="22"/>
          <w:szCs w:val="22"/>
          <w:lang w:val="lv-LV" w:eastAsia="lv-LV"/>
        </w:rPr>
        <w:t xml:space="preserve"> pašvaldības vajadzībām</w:t>
      </w:r>
      <w:r>
        <w:rPr>
          <w:rFonts w:eastAsia="Calibri"/>
          <w:b/>
          <w:bCs/>
          <w:sz w:val="22"/>
          <w:szCs w:val="22"/>
          <w:lang w:val="lv-LV"/>
        </w:rPr>
        <w:t>”</w:t>
      </w:r>
    </w:p>
    <w:p w14:paraId="39AE001A" w14:textId="77777777" w:rsidR="006A0F3E" w:rsidRDefault="006A0F3E" w:rsidP="006A0F3E">
      <w:pPr>
        <w:jc w:val="center"/>
        <w:rPr>
          <w:b/>
          <w:bCs/>
          <w:sz w:val="22"/>
          <w:szCs w:val="22"/>
          <w:lang w:val="lv-LV"/>
        </w:rPr>
      </w:pPr>
      <w:r>
        <w:rPr>
          <w:b/>
          <w:sz w:val="22"/>
          <w:szCs w:val="22"/>
          <w:lang w:val="lv-LV"/>
        </w:rPr>
        <w:t>ID Nr. CAIP 2024/16</w:t>
      </w:r>
    </w:p>
    <w:p w14:paraId="6346AC1A" w14:textId="77777777" w:rsidR="006A0F3E" w:rsidRDefault="006A0F3E" w:rsidP="006A0F3E">
      <w:pPr>
        <w:autoSpaceDE w:val="0"/>
        <w:autoSpaceDN w:val="0"/>
        <w:adjustRightInd w:val="0"/>
        <w:jc w:val="center"/>
        <w:rPr>
          <w:sz w:val="22"/>
          <w:szCs w:val="22"/>
          <w:lang w:val="lv-LV"/>
        </w:rPr>
      </w:pPr>
    </w:p>
    <w:p w14:paraId="2945464D" w14:textId="77777777" w:rsidR="006A0F3E" w:rsidRDefault="006A0F3E" w:rsidP="006A0F3E">
      <w:pPr>
        <w:jc w:val="center"/>
        <w:rPr>
          <w:i/>
          <w:iCs/>
          <w:sz w:val="22"/>
          <w:szCs w:val="22"/>
          <w:lang w:val="lv-LV"/>
        </w:rPr>
      </w:pPr>
      <w:r>
        <w:rPr>
          <w:b/>
          <w:bCs/>
          <w:i/>
          <w:iCs/>
          <w:sz w:val="22"/>
          <w:szCs w:val="22"/>
          <w:lang w:val="lv-LV"/>
        </w:rPr>
        <w:t xml:space="preserve"> Atbilde uz ieinteresētā piegādātāja jautājumiem</w:t>
      </w:r>
    </w:p>
    <w:p w14:paraId="61A6BE2E" w14:textId="77777777" w:rsidR="006A0F3E" w:rsidRDefault="006A0F3E" w:rsidP="006A0F3E">
      <w:pPr>
        <w:jc w:val="center"/>
        <w:rPr>
          <w:i/>
          <w:iCs/>
          <w:sz w:val="22"/>
          <w:szCs w:val="22"/>
          <w:lang w:val="lv-LV"/>
        </w:rPr>
      </w:pPr>
      <w:r>
        <w:rPr>
          <w:i/>
          <w:iCs/>
          <w:sz w:val="22"/>
          <w:szCs w:val="22"/>
          <w:lang w:val="lv-LV"/>
        </w:rPr>
        <w:t>(29.05.2024.)</w:t>
      </w:r>
    </w:p>
    <w:p w14:paraId="54DACC1E" w14:textId="77777777" w:rsidR="006A0F3E" w:rsidRDefault="006A0F3E" w:rsidP="006A0F3E">
      <w:pPr>
        <w:jc w:val="center"/>
        <w:rPr>
          <w:i/>
          <w:iCs/>
          <w:sz w:val="22"/>
          <w:szCs w:val="22"/>
          <w:lang w:val="lv-LV"/>
        </w:rPr>
      </w:pPr>
    </w:p>
    <w:p w14:paraId="68D579D5" w14:textId="77777777" w:rsidR="006A0F3E" w:rsidRDefault="006A0F3E" w:rsidP="006A0F3E">
      <w:pPr>
        <w:jc w:val="both"/>
        <w:rPr>
          <w:rFonts w:eastAsia="Calibri"/>
          <w:color w:val="000000"/>
          <w:lang w:val="lv-LV"/>
        </w:rPr>
      </w:pPr>
      <w:r>
        <w:rPr>
          <w:rFonts w:eastAsia="Calibri"/>
          <w:color w:val="000000"/>
          <w:lang w:val="lv-LV"/>
        </w:rPr>
        <w:t>Līguma 13.3.punktā ir paredzētas nesamērīgi plašas Pasūtītāja tiesības vienpusēji atkāpties no Līguma. Īpaši neskaidrs ir Līguma 13.3.2.punkts, kas paredz Pasūtītāja tiesības atkāpties no Līguma, ja Piegādātājs “</w:t>
      </w:r>
      <w:r>
        <w:rPr>
          <w:rFonts w:eastAsia="Calibri"/>
          <w:i/>
          <w:iCs/>
          <w:color w:val="000000"/>
          <w:lang w:val="lv-LV"/>
        </w:rPr>
        <w:t>nepilda kādas citas saistības</w:t>
      </w:r>
      <w:r>
        <w:rPr>
          <w:rFonts w:eastAsia="Calibri"/>
          <w:color w:val="000000"/>
          <w:lang w:val="lv-LV"/>
        </w:rPr>
        <w:t xml:space="preserve">”. </w:t>
      </w:r>
    </w:p>
    <w:p w14:paraId="60AFBF89" w14:textId="77777777" w:rsidR="006A0F3E" w:rsidRDefault="006A0F3E" w:rsidP="006A0F3E">
      <w:pPr>
        <w:jc w:val="both"/>
        <w:rPr>
          <w:rFonts w:eastAsia="Calibri"/>
          <w:color w:val="000000"/>
          <w:lang w:val="lv-LV"/>
        </w:rPr>
      </w:pPr>
    </w:p>
    <w:p w14:paraId="5153DED5" w14:textId="77777777" w:rsidR="006A0F3E" w:rsidRDefault="006A0F3E" w:rsidP="006A0F3E">
      <w:pPr>
        <w:jc w:val="both"/>
        <w:rPr>
          <w:rFonts w:eastAsia="Calibri"/>
          <w:color w:val="000000"/>
          <w:lang w:val="lv-LV"/>
        </w:rPr>
      </w:pPr>
      <w:r>
        <w:rPr>
          <w:rFonts w:eastAsia="Calibri"/>
          <w:color w:val="000000"/>
          <w:lang w:val="lv-LV"/>
        </w:rPr>
        <w:t>Ņemot vērā smagās sekas, kas būtu jācieš Piegādātājam, t.i., Līguma izbeigšana un nesamērīgi liela līgumsoda samaksas pienākums, nav samērīgi un nebūtu loģiski, ka šādas sekas iestātos par jebkuru Līgumā paredzētu pienākumu pārkāpumu. Piemēram, ka arī Līguma 13.12.4. punktā pielīgto saistību (informēt otru Pusi par izmaiņām normatīvajos aktos) neizpildes gadījumā Pasūtītājs būtu tiesīgs izbeigt Līgumu un piedzīt līgumsodu 500 000 EUR.</w:t>
      </w:r>
    </w:p>
    <w:p w14:paraId="19987915" w14:textId="77777777" w:rsidR="006A0F3E" w:rsidRDefault="006A0F3E" w:rsidP="006A0F3E">
      <w:pPr>
        <w:jc w:val="both"/>
        <w:rPr>
          <w:rFonts w:eastAsia="Calibri"/>
          <w:color w:val="000000"/>
          <w:lang w:val="lv-LV"/>
        </w:rPr>
      </w:pPr>
    </w:p>
    <w:p w14:paraId="0969DD18" w14:textId="77777777" w:rsidR="006A0F3E" w:rsidRDefault="006A0F3E" w:rsidP="006A0F3E">
      <w:pPr>
        <w:jc w:val="both"/>
        <w:rPr>
          <w:rFonts w:eastAsia="Calibri"/>
          <w:color w:val="000000"/>
          <w:lang w:val="lv-LV"/>
        </w:rPr>
      </w:pPr>
      <w:r>
        <w:rPr>
          <w:rFonts w:eastAsia="Calibri"/>
          <w:color w:val="000000"/>
          <w:lang w:val="lv-LV"/>
        </w:rPr>
        <w:t xml:space="preserve">Minētā iemesla dēļ 2024.gada 24. aprīlī tika lūgts precīzi norādīt, kuru Līgumā minētu Piegādātāja saistību neizpildes gadījumā, var iestāties  minētās smagās sekas. </w:t>
      </w:r>
    </w:p>
    <w:p w14:paraId="3D53999E" w14:textId="77777777" w:rsidR="006A0F3E" w:rsidRDefault="006A0F3E" w:rsidP="006A0F3E">
      <w:pPr>
        <w:jc w:val="both"/>
        <w:rPr>
          <w:rFonts w:eastAsia="Calibri"/>
          <w:color w:val="000000"/>
          <w:lang w:val="lv-LV"/>
        </w:rPr>
      </w:pPr>
    </w:p>
    <w:p w14:paraId="4B390935" w14:textId="77777777" w:rsidR="006A0F3E" w:rsidRDefault="006A0F3E" w:rsidP="006A0F3E">
      <w:pPr>
        <w:jc w:val="both"/>
        <w:rPr>
          <w:rFonts w:eastAsia="Calibri"/>
          <w:i/>
          <w:iCs/>
          <w:color w:val="000000"/>
          <w:lang w:val="lv-LV"/>
        </w:rPr>
      </w:pPr>
      <w:r>
        <w:rPr>
          <w:rFonts w:eastAsia="Calibri"/>
          <w:color w:val="000000"/>
          <w:lang w:val="lv-LV"/>
        </w:rPr>
        <w:t>2024.gada 2.maijā uz augstāk minēto jautājumu tika sniegta sekojoša atbilde “</w:t>
      </w:r>
      <w:r>
        <w:rPr>
          <w:rFonts w:eastAsia="Calibri"/>
          <w:i/>
          <w:iCs/>
          <w:color w:val="000000"/>
          <w:lang w:val="lv-LV"/>
        </w:rPr>
        <w:t xml:space="preserve">Šajā gadījumā tiek pieļauts, ka varētu tikt neizpildītas “kādas citas saistības”, kas ir radušās saskaņā ar Līgumu”, bet </w:t>
      </w:r>
      <w:r>
        <w:rPr>
          <w:rFonts w:eastAsia="Calibri"/>
          <w:i/>
          <w:iCs/>
          <w:color w:val="000000"/>
          <w:u w:val="single"/>
          <w:lang w:val="lv-LV"/>
        </w:rPr>
        <w:t>nav minētas Līgumā</w:t>
      </w:r>
      <w:r>
        <w:rPr>
          <w:rFonts w:eastAsia="Calibri"/>
          <w:i/>
          <w:iCs/>
          <w:color w:val="000000"/>
          <w:lang w:val="lv-LV"/>
        </w:rPr>
        <w:t>.”</w:t>
      </w:r>
    </w:p>
    <w:p w14:paraId="662302AE" w14:textId="77777777" w:rsidR="006A0F3E" w:rsidRDefault="006A0F3E" w:rsidP="006A0F3E">
      <w:pPr>
        <w:jc w:val="both"/>
        <w:rPr>
          <w:rFonts w:eastAsia="Calibri"/>
          <w:i/>
          <w:iCs/>
          <w:color w:val="000000"/>
          <w:lang w:val="lv-LV"/>
        </w:rPr>
      </w:pPr>
    </w:p>
    <w:p w14:paraId="682AB18A" w14:textId="77777777" w:rsidR="006A0F3E" w:rsidRDefault="006A0F3E" w:rsidP="006A0F3E">
      <w:pPr>
        <w:jc w:val="both"/>
        <w:rPr>
          <w:rFonts w:eastAsia="Calibri"/>
          <w:color w:val="000000"/>
          <w:lang w:val="lv-LV"/>
        </w:rPr>
      </w:pPr>
      <w:r>
        <w:rPr>
          <w:rFonts w:eastAsia="Calibri"/>
          <w:color w:val="000000"/>
          <w:lang w:val="lv-LV"/>
        </w:rPr>
        <w:t>Vēršam uzmanību uz apstākli, ka ar šādu atbildi Līguma 13.3.2.punkta iespējamā interpretācija ir kļuvusi vēl neskaidrāka. Nav saprotams, kādas “</w:t>
      </w:r>
      <w:r>
        <w:rPr>
          <w:rFonts w:eastAsia="Calibri"/>
          <w:i/>
          <w:iCs/>
          <w:color w:val="000000"/>
          <w:lang w:val="lv-LV"/>
        </w:rPr>
        <w:t>saistības, kas ir radušās saskaņā ar Līgumu, bet nav minētas Līgumā</w:t>
      </w:r>
      <w:r>
        <w:rPr>
          <w:rFonts w:eastAsia="Calibri"/>
          <w:color w:val="000000"/>
          <w:lang w:val="lv-LV"/>
        </w:rPr>
        <w:t xml:space="preserve">” Piegādātājam būtu jāpilda. </w:t>
      </w:r>
    </w:p>
    <w:p w14:paraId="48E9DD4A" w14:textId="77777777" w:rsidR="006A0F3E" w:rsidRDefault="006A0F3E" w:rsidP="006A0F3E">
      <w:pPr>
        <w:jc w:val="both"/>
        <w:rPr>
          <w:rFonts w:eastAsia="Calibri"/>
          <w:color w:val="000000"/>
          <w:lang w:val="lv-LV"/>
        </w:rPr>
      </w:pPr>
    </w:p>
    <w:p w14:paraId="4EDB37C6" w14:textId="77777777" w:rsidR="006A0F3E" w:rsidRDefault="006A0F3E" w:rsidP="006A0F3E">
      <w:pPr>
        <w:jc w:val="both"/>
        <w:rPr>
          <w:rFonts w:eastAsia="Calibri"/>
          <w:color w:val="000000"/>
          <w:lang w:val="lv-LV"/>
        </w:rPr>
      </w:pPr>
      <w:r>
        <w:rPr>
          <w:rFonts w:eastAsia="Calibri"/>
          <w:color w:val="000000"/>
          <w:lang w:val="lv-LV"/>
        </w:rPr>
        <w:t xml:space="preserve">Tāpat nav saprotams, kāpēc Pasūtītājam it kā zināmas būtiskas Piegādātāja saistības netiek iekļautas Līgumā, bet apzināti ir atstātas ārpus Līguma. Uz Līgumā neminēto saistību būtiskumu norāda to neievērošanas sekas, t.i., ja šīs nezināmās Piegādātāja saistības netiek izpildītas, Līgums zaudē spēku un Piegādātājam ir jāmaksā nesamērīgi augsts līgumsods. Tā kā tik smagas juridiskās sekas tiek piemērotas tikai par ļoti būtisku saistību neizpildi, </w:t>
      </w:r>
      <w:r>
        <w:rPr>
          <w:rFonts w:eastAsia="Calibri"/>
          <w:color w:val="000000"/>
          <w:u w:val="single"/>
          <w:lang w:val="lv-LV"/>
        </w:rPr>
        <w:t>secināms, ka Līgumā neminētās saistības ir ļoti būtiskas Līguma izpildei</w:t>
      </w:r>
      <w:r>
        <w:rPr>
          <w:rFonts w:eastAsia="Calibri"/>
          <w:color w:val="000000"/>
          <w:lang w:val="lv-LV"/>
        </w:rPr>
        <w:t xml:space="preserve">. Diemžēl </w:t>
      </w:r>
      <w:r>
        <w:rPr>
          <w:rFonts w:eastAsia="Calibri"/>
          <w:color w:val="000000"/>
          <w:u w:val="single"/>
          <w:lang w:val="lv-LV"/>
        </w:rPr>
        <w:t>Pasūtītājam netiek darīts zināms, kādas ir šis Pasūtītāja saistības, jo tās nezināmu iemeslu dēļ netiek iekļautas Līgumā</w:t>
      </w:r>
      <w:r>
        <w:rPr>
          <w:rFonts w:eastAsia="Calibri"/>
          <w:color w:val="000000"/>
          <w:lang w:val="lv-LV"/>
        </w:rPr>
        <w:t>.</w:t>
      </w:r>
    </w:p>
    <w:p w14:paraId="4AF7833E" w14:textId="77777777" w:rsidR="006A0F3E" w:rsidRDefault="006A0F3E" w:rsidP="006A0F3E">
      <w:pPr>
        <w:jc w:val="both"/>
        <w:rPr>
          <w:rFonts w:eastAsia="Calibri"/>
          <w:color w:val="000000"/>
          <w:lang w:val="lv-LV"/>
        </w:rPr>
      </w:pPr>
    </w:p>
    <w:p w14:paraId="1472B2F9" w14:textId="77777777" w:rsidR="006A0F3E" w:rsidRDefault="006A0F3E" w:rsidP="006A0F3E">
      <w:pPr>
        <w:jc w:val="both"/>
        <w:rPr>
          <w:rFonts w:eastAsia="Calibri"/>
          <w:color w:val="000000"/>
          <w:lang w:val="lv-LV"/>
        </w:rPr>
      </w:pPr>
      <w:r>
        <w:rPr>
          <w:rFonts w:eastAsia="Calibri"/>
          <w:color w:val="000000"/>
          <w:lang w:val="lv-LV"/>
        </w:rPr>
        <w:t>Līdz ar to šāda Līguma 13.3.2.punkta redakcija rada juridisku nenoteiktību un aizdomas par Pasūtītāja ļaunprātīgu rīcību, apzināti Līgumā neiekļaujot Līgumā būtiskas Piegādātāja saistības, kuru neizpildes gadījumā Piegādātājam iestājas īpaši smagas sekas – Līguma vienpusēja izbeigšana un nesamērīgi augsta līgumsoda samaksas pienākums.</w:t>
      </w:r>
    </w:p>
    <w:p w14:paraId="0F48BEF2" w14:textId="77777777" w:rsidR="006A0F3E" w:rsidRDefault="006A0F3E" w:rsidP="006A0F3E">
      <w:pPr>
        <w:jc w:val="both"/>
        <w:rPr>
          <w:rFonts w:eastAsia="Calibri"/>
          <w:b/>
          <w:bCs/>
          <w:i/>
          <w:iCs/>
          <w:color w:val="000000"/>
          <w:lang w:val="lv-LV"/>
        </w:rPr>
      </w:pPr>
    </w:p>
    <w:p w14:paraId="74D1FE23" w14:textId="77777777" w:rsidR="006A0F3E" w:rsidRDefault="006A0F3E" w:rsidP="006A0F3E">
      <w:pPr>
        <w:jc w:val="both"/>
        <w:rPr>
          <w:rFonts w:eastAsia="Calibri"/>
          <w:b/>
          <w:bCs/>
          <w:i/>
          <w:iCs/>
          <w:color w:val="000000"/>
          <w:lang w:val="lv-LV"/>
        </w:rPr>
      </w:pPr>
      <w:r>
        <w:rPr>
          <w:rFonts w:eastAsia="Calibri"/>
          <w:b/>
          <w:bCs/>
          <w:i/>
          <w:iCs/>
          <w:color w:val="000000"/>
          <w:lang w:val="lv-LV"/>
        </w:rPr>
        <w:t xml:space="preserve">Ņemot vērā augstāk minētās neskaidrības Līgumā, lūdzam </w:t>
      </w:r>
    </w:p>
    <w:p w14:paraId="370F75B5" w14:textId="77777777" w:rsidR="006A0F3E" w:rsidRDefault="006A0F3E" w:rsidP="006A0F3E">
      <w:pPr>
        <w:numPr>
          <w:ilvl w:val="0"/>
          <w:numId w:val="1"/>
        </w:numPr>
        <w:spacing w:line="254" w:lineRule="auto"/>
        <w:jc w:val="both"/>
        <w:rPr>
          <w:rFonts w:eastAsia="Calibri"/>
          <w:b/>
          <w:bCs/>
          <w:i/>
          <w:iCs/>
          <w:color w:val="000000"/>
          <w:lang w:val="lv-LV"/>
        </w:rPr>
      </w:pPr>
      <w:r>
        <w:rPr>
          <w:rFonts w:eastAsia="Calibri"/>
          <w:b/>
          <w:bCs/>
          <w:i/>
          <w:iCs/>
          <w:color w:val="000000"/>
          <w:u w:val="single"/>
          <w:lang w:val="lv-LV"/>
        </w:rPr>
        <w:t>norādīt Līgumā visas Piegādātāja saistības</w:t>
      </w:r>
      <w:r>
        <w:rPr>
          <w:rFonts w:eastAsia="Calibri"/>
          <w:b/>
          <w:bCs/>
          <w:i/>
          <w:iCs/>
          <w:color w:val="000000"/>
          <w:lang w:val="lv-LV"/>
        </w:rPr>
        <w:t>;</w:t>
      </w:r>
    </w:p>
    <w:p w14:paraId="6723774B" w14:textId="77777777" w:rsidR="006A0F3E" w:rsidRDefault="006A0F3E" w:rsidP="006A0F3E">
      <w:pPr>
        <w:spacing w:line="254" w:lineRule="auto"/>
        <w:ind w:left="720"/>
        <w:contextualSpacing/>
        <w:jc w:val="both"/>
        <w:rPr>
          <w:rFonts w:eastAsia="Calibri"/>
          <w:b/>
          <w:bCs/>
          <w:i/>
          <w:iCs/>
          <w:color w:val="000000"/>
          <w:u w:val="single"/>
          <w:lang w:val="lv-LV"/>
        </w:rPr>
      </w:pPr>
    </w:p>
    <w:p w14:paraId="56A47094" w14:textId="77777777" w:rsidR="006A0F3E" w:rsidRDefault="006A0F3E" w:rsidP="006A0F3E">
      <w:pPr>
        <w:spacing w:line="254" w:lineRule="auto"/>
        <w:ind w:left="720"/>
        <w:contextualSpacing/>
        <w:jc w:val="both"/>
        <w:rPr>
          <w:rFonts w:eastAsia="Calibri"/>
          <w:b/>
          <w:bCs/>
          <w:color w:val="000000"/>
          <w:u w:val="single"/>
          <w:lang w:val="lv-LV"/>
        </w:rPr>
      </w:pPr>
    </w:p>
    <w:p w14:paraId="7D7FD306" w14:textId="77777777" w:rsidR="006A0F3E" w:rsidRDefault="006A0F3E" w:rsidP="006A0F3E">
      <w:pPr>
        <w:spacing w:line="254" w:lineRule="auto"/>
        <w:ind w:left="720"/>
        <w:contextualSpacing/>
        <w:jc w:val="both"/>
        <w:rPr>
          <w:rFonts w:eastAsia="Calibri"/>
          <w:b/>
          <w:bCs/>
          <w:color w:val="000000"/>
          <w:u w:val="single"/>
          <w:lang w:val="lv-LV"/>
        </w:rPr>
      </w:pPr>
    </w:p>
    <w:p w14:paraId="2BCF97A6" w14:textId="77777777" w:rsidR="006A0F3E" w:rsidRDefault="006A0F3E" w:rsidP="006A0F3E">
      <w:pPr>
        <w:spacing w:line="254" w:lineRule="auto"/>
        <w:ind w:left="720"/>
        <w:contextualSpacing/>
        <w:jc w:val="both"/>
        <w:rPr>
          <w:rFonts w:eastAsia="Calibri"/>
          <w:b/>
          <w:bCs/>
          <w:color w:val="000000"/>
          <w:u w:val="single"/>
          <w:lang w:val="lv-LV"/>
        </w:rPr>
      </w:pPr>
      <w:r>
        <w:rPr>
          <w:rFonts w:eastAsia="Calibri"/>
          <w:b/>
          <w:bCs/>
          <w:color w:val="000000"/>
          <w:u w:val="single"/>
          <w:lang w:val="lv-LV"/>
        </w:rPr>
        <w:t>Atbilde:</w:t>
      </w:r>
    </w:p>
    <w:p w14:paraId="55F9888E" w14:textId="77777777" w:rsidR="006A0F3E" w:rsidRDefault="006A0F3E" w:rsidP="006A0F3E">
      <w:pPr>
        <w:jc w:val="both"/>
        <w:rPr>
          <w:rFonts w:eastAsia="Arial Unicode MS" w:cs="Arial Unicode MS"/>
          <w:i/>
          <w:iCs/>
          <w:bdr w:val="none" w:sz="0" w:space="0" w:color="auto" w:frame="1"/>
          <w:lang w:val="lv-LV" w:eastAsia="lv-LV"/>
        </w:rPr>
      </w:pPr>
      <w:bookmarkStart w:id="0" w:name="_Hlk167879899"/>
      <w:r>
        <w:rPr>
          <w:rFonts w:eastAsia="Calibri"/>
          <w:color w:val="000000"/>
          <w:lang w:val="lv-LV"/>
        </w:rPr>
        <w:lastRenderedPageBreak/>
        <w:t>Līguma projektā (turpmāk – Līgums) ir maksimāli precizētas visas piegādātāja saistības.</w:t>
      </w:r>
      <w:bookmarkEnd w:id="0"/>
      <w:r>
        <w:rPr>
          <w:rFonts w:eastAsia="Calibri"/>
          <w:color w:val="000000"/>
          <w:lang w:val="lv-LV"/>
        </w:rPr>
        <w:t xml:space="preserve"> Precizējam iepriekš, 02.05.2024. sniegto atbildi uz 2.1.jautājumu: “</w:t>
      </w:r>
      <w:r>
        <w:rPr>
          <w:rFonts w:eastAsia="Calibri"/>
          <w:i/>
          <w:iCs/>
          <w:color w:val="000000"/>
          <w:kern w:val="2"/>
          <w:lang w:val="lv-LV"/>
        </w:rPr>
        <w:t xml:space="preserve">Kuru Līgumā paredzēto saistību neizpilde ir jāsaprot kā Līguma 13.3.2.punktā minēto “kādu citu saistību” neizpilde?”, </w:t>
      </w:r>
      <w:r>
        <w:rPr>
          <w:rFonts w:eastAsia="Calibri"/>
          <w:color w:val="000000"/>
          <w:kern w:val="2"/>
          <w:lang w:val="lv-LV"/>
        </w:rPr>
        <w:t>precizētā atbilde: “Līgumā ir minētas visas piegādātāja saistības. 13.3.2.punktā minētās “citas saistības” ir visas tās saistības, kuras nav minētas Līguma 13.3.1., 13.3.3., 13.3.4. punktā”.</w:t>
      </w:r>
    </w:p>
    <w:p w14:paraId="60F893D7" w14:textId="77777777" w:rsidR="006A0F3E" w:rsidRDefault="006A0F3E" w:rsidP="006A0F3E">
      <w:pPr>
        <w:jc w:val="both"/>
        <w:rPr>
          <w:rFonts w:eastAsia="Arial Unicode MS" w:cs="Arial Unicode MS"/>
          <w:color w:val="000000"/>
          <w:bdr w:val="none" w:sz="0" w:space="0" w:color="auto" w:frame="1"/>
          <w:lang w:val="lv-LV" w:eastAsia="lv-LV"/>
        </w:rPr>
      </w:pPr>
    </w:p>
    <w:p w14:paraId="3B4C7A4B" w14:textId="77777777" w:rsidR="006A0F3E" w:rsidRDefault="006A0F3E" w:rsidP="006A0F3E">
      <w:pPr>
        <w:spacing w:line="254" w:lineRule="auto"/>
        <w:ind w:left="720"/>
        <w:contextualSpacing/>
        <w:jc w:val="both"/>
        <w:rPr>
          <w:rFonts w:eastAsia="Calibri"/>
          <w:color w:val="000000"/>
          <w:lang w:val="lv-LV"/>
        </w:rPr>
      </w:pPr>
    </w:p>
    <w:p w14:paraId="7FFC6B41" w14:textId="77777777" w:rsidR="006A0F3E" w:rsidRDefault="006A0F3E" w:rsidP="006A0F3E">
      <w:pPr>
        <w:numPr>
          <w:ilvl w:val="0"/>
          <w:numId w:val="1"/>
        </w:numPr>
        <w:spacing w:line="254" w:lineRule="auto"/>
        <w:jc w:val="both"/>
        <w:rPr>
          <w:rFonts w:eastAsia="Calibri"/>
          <w:b/>
          <w:bCs/>
          <w:i/>
          <w:iCs/>
          <w:color w:val="000000"/>
          <w:lang w:val="lv-LV"/>
        </w:rPr>
      </w:pPr>
      <w:r>
        <w:rPr>
          <w:rFonts w:eastAsia="Calibri"/>
          <w:b/>
          <w:bCs/>
          <w:i/>
          <w:iCs/>
          <w:color w:val="000000"/>
          <w:lang w:val="lv-LV"/>
        </w:rPr>
        <w:t xml:space="preserve">Līguma 13.3.2.punktā precizēt, </w:t>
      </w:r>
      <w:r>
        <w:rPr>
          <w:rFonts w:eastAsia="Calibri"/>
          <w:b/>
          <w:bCs/>
          <w:i/>
          <w:iCs/>
          <w:color w:val="000000"/>
          <w:u w:val="single"/>
          <w:lang w:val="lv-LV"/>
        </w:rPr>
        <w:t>par kādu konkrētu Piegādātāja saistību</w:t>
      </w:r>
      <w:r>
        <w:rPr>
          <w:rFonts w:eastAsia="Calibri"/>
          <w:b/>
          <w:bCs/>
          <w:i/>
          <w:iCs/>
          <w:color w:val="000000"/>
          <w:lang w:val="lv-LV"/>
        </w:rPr>
        <w:t xml:space="preserve"> (norādot Līguma punktus) pārkāpumu Pasūtītājs ir tiesīgs vienpusēji izbeigt Līgumu.</w:t>
      </w:r>
    </w:p>
    <w:p w14:paraId="11AB9EEB" w14:textId="77777777" w:rsidR="006A0F3E" w:rsidRDefault="006A0F3E" w:rsidP="006A0F3E">
      <w:pPr>
        <w:jc w:val="both"/>
        <w:rPr>
          <w:rFonts w:eastAsia="Calibri"/>
          <w:b/>
          <w:bCs/>
          <w:i/>
          <w:iCs/>
          <w:color w:val="000000"/>
          <w:lang w:val="lv-LV"/>
        </w:rPr>
      </w:pPr>
    </w:p>
    <w:p w14:paraId="7FFC4C0C" w14:textId="77777777" w:rsidR="006A0F3E" w:rsidRDefault="006A0F3E" w:rsidP="006A0F3E">
      <w:pPr>
        <w:tabs>
          <w:tab w:val="num" w:pos="709"/>
        </w:tabs>
        <w:ind w:left="567" w:hanging="567"/>
        <w:contextualSpacing/>
        <w:jc w:val="both"/>
        <w:rPr>
          <w:rFonts w:eastAsia="Calibri"/>
          <w:lang w:val="lv-LV"/>
        </w:rPr>
      </w:pPr>
    </w:p>
    <w:p w14:paraId="0CFE6EC9" w14:textId="77777777" w:rsidR="006A0F3E" w:rsidRDefault="006A0F3E" w:rsidP="006A0F3E">
      <w:pPr>
        <w:jc w:val="both"/>
        <w:rPr>
          <w:b/>
          <w:bCs/>
          <w:sz w:val="22"/>
          <w:szCs w:val="22"/>
          <w:u w:val="single"/>
          <w:lang w:val="lv-LV"/>
        </w:rPr>
      </w:pPr>
      <w:r>
        <w:rPr>
          <w:b/>
          <w:bCs/>
          <w:sz w:val="22"/>
          <w:szCs w:val="22"/>
          <w:lang w:val="lv-LV"/>
        </w:rPr>
        <w:t xml:space="preserve"> </w:t>
      </w:r>
      <w:r>
        <w:rPr>
          <w:sz w:val="22"/>
          <w:szCs w:val="22"/>
          <w:lang w:val="lv-LV"/>
        </w:rPr>
        <w:t xml:space="preserve">         </w:t>
      </w:r>
      <w:r>
        <w:rPr>
          <w:b/>
          <w:bCs/>
          <w:sz w:val="22"/>
          <w:szCs w:val="22"/>
          <w:u w:val="single"/>
          <w:lang w:val="lv-LV"/>
        </w:rPr>
        <w:t xml:space="preserve">Atbilde: </w:t>
      </w:r>
    </w:p>
    <w:p w14:paraId="17ECC367" w14:textId="77777777" w:rsidR="006A0F3E" w:rsidRDefault="006A0F3E" w:rsidP="006A0F3E">
      <w:pPr>
        <w:jc w:val="both"/>
        <w:rPr>
          <w:rFonts w:eastAsia="Calibri"/>
          <w:color w:val="000000"/>
          <w:lang w:val="lv-LV"/>
        </w:rPr>
      </w:pPr>
      <w:r>
        <w:rPr>
          <w:rFonts w:eastAsia="Calibri"/>
          <w:color w:val="000000"/>
          <w:lang w:val="lv-LV"/>
        </w:rPr>
        <w:t>Līguma 13.3.2.punktā minētās “citas saistības” ir saistības, kas nav minētas Līguma 13.3.1., 13.3.3., 13.3.4. punktā, bet izriet no Līguma. Turklāt Līguma 13.3.2.punkta izpildei piegādātājam tiek dots laiks 5 (piecas) kalendārās dienas saistību neizpildes novēršanai, Līgums netiek izbeigts nekavējoties.</w:t>
      </w:r>
    </w:p>
    <w:p w14:paraId="71110A9A" w14:textId="77777777" w:rsidR="006A0F3E" w:rsidRDefault="006A0F3E" w:rsidP="006A0F3E">
      <w:pPr>
        <w:jc w:val="both"/>
        <w:rPr>
          <w:rFonts w:eastAsia="Calibri"/>
          <w:color w:val="000000"/>
          <w:lang w:val="lv-LV"/>
        </w:rPr>
      </w:pPr>
    </w:p>
    <w:p w14:paraId="35D09B06" w14:textId="77777777" w:rsidR="006A0F3E" w:rsidRDefault="006A0F3E" w:rsidP="006A0F3E">
      <w:pPr>
        <w:jc w:val="both"/>
        <w:rPr>
          <w:rFonts w:eastAsia="Calibri"/>
          <w:color w:val="000000"/>
          <w:lang w:val="lv-LV"/>
        </w:rPr>
      </w:pPr>
      <w:r>
        <w:rPr>
          <w:rFonts w:eastAsia="Calibri"/>
          <w:color w:val="000000"/>
          <w:lang w:val="lv-LV"/>
        </w:rPr>
        <w:t>Attiecībā par Līguma 13.5.punktu, līgumsods Līguma izpildes laikā pasūtītājam jāpiemēro ievērojot, tajā skaitā, Civillikuma noteikumus par līgumsodiem. Tādēļ Līguma 13.5. punkts tiks precizēts:</w:t>
      </w:r>
    </w:p>
    <w:p w14:paraId="1ED8105F" w14:textId="77777777" w:rsidR="006A0F3E" w:rsidRDefault="006A0F3E" w:rsidP="006A0F3E">
      <w:pPr>
        <w:jc w:val="both"/>
        <w:rPr>
          <w:rFonts w:eastAsia="Arial Unicode MS" w:cs="Arial Unicode MS"/>
          <w:bdr w:val="none" w:sz="0" w:space="0" w:color="auto" w:frame="1"/>
          <w:lang w:val="lv-LV" w:eastAsia="lv-LV"/>
        </w:rPr>
      </w:pPr>
      <w:r>
        <w:rPr>
          <w:rFonts w:eastAsia="Calibri"/>
          <w:color w:val="000000"/>
          <w:lang w:val="lv-LV"/>
        </w:rPr>
        <w:t xml:space="preserve">“13.5. Līguma </w:t>
      </w:r>
      <w:bookmarkStart w:id="1" w:name="_Hlk33098178"/>
      <w:r>
        <w:rPr>
          <w:rFonts w:eastAsia="Calibri"/>
          <w:color w:val="000000"/>
          <w:lang w:val="lv-LV"/>
        </w:rPr>
        <w:t xml:space="preserve">13.3.1.-13.3.4. </w:t>
      </w:r>
      <w:bookmarkEnd w:id="1"/>
      <w:r>
        <w:rPr>
          <w:rFonts w:eastAsia="Calibri"/>
          <w:color w:val="000000"/>
          <w:lang w:val="lv-LV"/>
        </w:rPr>
        <w:t>punktā noteiktajos gadījumos Piegādātājs atlīdzina Pasūtītājam visus ar Līguma izbeigšanu radušos tiešos zaudējumus. Piegādātājs 5 (piecu) kalendāra dienu laikā pēc rakstiskas informācijas saņemšanas par Līguma pirmstermiņa izbeigšanu saskaņā ar Līguma 13.3.1.-13.3.4. punktu samaksā Pasūtītājam līgumsodu 10% (desmit procenti) apmērā no Pasūtītāja veikto pasūtījumu summas.”</w:t>
      </w:r>
    </w:p>
    <w:p w14:paraId="61F8C229" w14:textId="77777777" w:rsidR="006A0F3E" w:rsidRDefault="006A0F3E" w:rsidP="006A0F3E">
      <w:pPr>
        <w:jc w:val="both"/>
        <w:rPr>
          <w:b/>
          <w:bCs/>
          <w:sz w:val="22"/>
          <w:szCs w:val="22"/>
          <w:u w:val="single"/>
          <w:lang w:val="lv-LV"/>
        </w:rPr>
      </w:pPr>
    </w:p>
    <w:p w14:paraId="39F9CA44" w14:textId="77777777" w:rsidR="00FC084F" w:rsidRPr="006A0F3E" w:rsidRDefault="00FC084F">
      <w:pPr>
        <w:rPr>
          <w:lang w:val="lv-LV"/>
        </w:rPr>
      </w:pPr>
    </w:p>
    <w:sectPr w:rsidR="00FC084F" w:rsidRPr="006A0F3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86EE0"/>
    <w:multiLevelType w:val="hybridMultilevel"/>
    <w:tmpl w:val="9AECFA8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8975198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F3E"/>
    <w:rsid w:val="005C694B"/>
    <w:rsid w:val="006A0F3E"/>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29EC1"/>
  <w15:chartTrackingRefBased/>
  <w15:docId w15:val="{9A4D2EE2-F80D-48B0-8512-04C421F6A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A0F3E"/>
    <w:pPr>
      <w:spacing w:after="0" w:line="240" w:lineRule="auto"/>
    </w:pPr>
    <w:rPr>
      <w:rFonts w:ascii="Times New Roman" w:eastAsia="Times New Roman" w:hAnsi="Times New Roman" w:cs="Times New Roman"/>
      <w:kern w:val="0"/>
      <w:sz w:val="24"/>
      <w:szCs w:val="24"/>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47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2655</Words>
  <Characters>1514</Characters>
  <Application>Microsoft Office Word</Application>
  <DocSecurity>0</DocSecurity>
  <Lines>12</Lines>
  <Paragraphs>8</Paragraphs>
  <ScaleCrop>false</ScaleCrop>
  <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1</cp:revision>
  <dcterms:created xsi:type="dcterms:W3CDTF">2024-05-29T16:23:00Z</dcterms:created>
  <dcterms:modified xsi:type="dcterms:W3CDTF">2024-05-29T16:23:00Z</dcterms:modified>
</cp:coreProperties>
</file>