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798EF" w14:textId="34BB35E6" w:rsidR="001E242D" w:rsidRPr="00CB0F9C" w:rsidRDefault="001E242D" w:rsidP="001E242D">
      <w:pPr>
        <w:spacing w:line="276" w:lineRule="auto"/>
        <w:ind w:right="57"/>
        <w:jc w:val="center"/>
        <w:rPr>
          <w:rFonts w:ascii="Times New Roman" w:eastAsia="Times New Roman" w:hAnsi="Times New Roman"/>
          <w:b/>
          <w:bCs/>
          <w:sz w:val="24"/>
          <w:szCs w:val="24"/>
          <w:lang w:eastAsia="lv-LV"/>
        </w:rPr>
      </w:pPr>
      <w:r w:rsidRPr="001E242D">
        <w:rPr>
          <w:rFonts w:ascii="Times New Roman" w:eastAsia="Calibri" w:hAnsi="Times New Roman"/>
          <w:b/>
          <w:sz w:val="24"/>
          <w:szCs w:val="24"/>
          <w:lang w:eastAsia="lv-LV"/>
        </w:rPr>
        <w:t xml:space="preserve">Iepirkuma komisijas sniegtās atbildes uz ieinteresētā piegādātāja jautājumiem sarunu procedūrā </w:t>
      </w:r>
      <w:r>
        <w:rPr>
          <w:rFonts w:ascii="Times New Roman" w:eastAsia="Times New Roman" w:hAnsi="Times New Roman"/>
          <w:b/>
          <w:bCs/>
          <w:sz w:val="24"/>
          <w:szCs w:val="24"/>
          <w:lang w:eastAsia="lv-LV"/>
        </w:rPr>
        <w:t>“</w:t>
      </w:r>
      <w:proofErr w:type="spellStart"/>
      <w:r w:rsidRPr="001E242D">
        <w:rPr>
          <w:rFonts w:ascii="Times New Roman" w:eastAsia="Times New Roman" w:hAnsi="Times New Roman"/>
          <w:b/>
          <w:bCs/>
          <w:sz w:val="24"/>
          <w:szCs w:val="24"/>
          <w:lang w:eastAsia="lv-LV"/>
        </w:rPr>
        <w:t>Aerolāzerskenēšanas</w:t>
      </w:r>
      <w:proofErr w:type="spellEnd"/>
      <w:r w:rsidRPr="001E242D">
        <w:rPr>
          <w:rFonts w:ascii="Times New Roman" w:eastAsia="Times New Roman" w:hAnsi="Times New Roman"/>
          <w:b/>
          <w:bCs/>
          <w:sz w:val="24"/>
          <w:szCs w:val="24"/>
          <w:lang w:eastAsia="lv-LV"/>
        </w:rPr>
        <w:t xml:space="preserve"> sistēmas An-2 lidaparātam piegāde un uzstādīšana</w:t>
      </w:r>
      <w:r>
        <w:rPr>
          <w:rFonts w:ascii="Times New Roman" w:eastAsia="Times New Roman" w:hAnsi="Times New Roman"/>
          <w:b/>
          <w:bCs/>
          <w:sz w:val="24"/>
          <w:szCs w:val="24"/>
          <w:lang w:eastAsia="lv-LV"/>
        </w:rPr>
        <w:t>”</w:t>
      </w:r>
    </w:p>
    <w:p w14:paraId="3332B9AE" w14:textId="08275BE2" w:rsidR="001E242D" w:rsidRDefault="001E242D" w:rsidP="001E242D">
      <w:pPr>
        <w:jc w:val="center"/>
        <w:rPr>
          <w:rFonts w:ascii="Times New Roman" w:eastAsia="Times New Roman" w:hAnsi="Times New Roman"/>
          <w:b/>
          <w:bCs/>
          <w:sz w:val="24"/>
          <w:szCs w:val="24"/>
          <w:lang w:eastAsia="lv-LV"/>
        </w:rPr>
      </w:pPr>
      <w:r w:rsidRPr="00775B21">
        <w:rPr>
          <w:rFonts w:ascii="Times New Roman" w:eastAsia="Times New Roman" w:hAnsi="Times New Roman"/>
          <w:b/>
          <w:bCs/>
          <w:sz w:val="24"/>
          <w:szCs w:val="24"/>
          <w:lang w:eastAsia="lv-LV"/>
        </w:rPr>
        <w:t>identifikācijas Nr. </w:t>
      </w:r>
      <w:r w:rsidRPr="00775B21">
        <w:rPr>
          <w:rFonts w:ascii="Times New Roman" w:eastAsia="Times New Roman" w:hAnsi="Times New Roman"/>
          <w:b/>
          <w:sz w:val="24"/>
          <w:szCs w:val="24"/>
          <w:lang w:eastAsia="lv-LV"/>
        </w:rPr>
        <w:t>VALIC </w:t>
      </w:r>
      <w:r w:rsidRPr="00DE1B79">
        <w:rPr>
          <w:rFonts w:ascii="Times New Roman" w:eastAsia="Times New Roman" w:hAnsi="Times New Roman"/>
          <w:b/>
          <w:sz w:val="24"/>
          <w:szCs w:val="24"/>
          <w:lang w:eastAsia="lv-LV"/>
        </w:rPr>
        <w:t>2023/0</w:t>
      </w:r>
      <w:r>
        <w:rPr>
          <w:rFonts w:ascii="Times New Roman" w:eastAsia="Times New Roman" w:hAnsi="Times New Roman"/>
          <w:b/>
          <w:sz w:val="24"/>
          <w:szCs w:val="24"/>
          <w:lang w:eastAsia="lv-LV"/>
        </w:rPr>
        <w:t>89</w:t>
      </w:r>
      <w:r w:rsidRPr="00DE1B79">
        <w:rPr>
          <w:rFonts w:ascii="Times New Roman" w:eastAsia="Times New Roman" w:hAnsi="Times New Roman"/>
          <w:b/>
          <w:sz w:val="24"/>
          <w:szCs w:val="24"/>
          <w:lang w:eastAsia="lv-LV"/>
        </w:rPr>
        <w:t>/BN-</w:t>
      </w:r>
      <w:r>
        <w:rPr>
          <w:rFonts w:ascii="Times New Roman" w:eastAsia="Times New Roman" w:hAnsi="Times New Roman"/>
          <w:b/>
          <w:sz w:val="24"/>
          <w:szCs w:val="24"/>
          <w:lang w:eastAsia="lv-LV"/>
        </w:rPr>
        <w:t>A</w:t>
      </w:r>
      <w:r w:rsidRPr="00DE1B79">
        <w:rPr>
          <w:rFonts w:ascii="Times New Roman" w:eastAsia="Times New Roman" w:hAnsi="Times New Roman"/>
          <w:b/>
          <w:sz w:val="24"/>
          <w:szCs w:val="24"/>
          <w:lang w:eastAsia="lv-LV"/>
        </w:rPr>
        <w:t>-</w:t>
      </w:r>
      <w:r>
        <w:rPr>
          <w:rFonts w:ascii="Times New Roman" w:eastAsia="Times New Roman" w:hAnsi="Times New Roman"/>
          <w:b/>
          <w:sz w:val="24"/>
          <w:szCs w:val="24"/>
          <w:lang w:eastAsia="lv-LV"/>
        </w:rPr>
        <w:t>SPP</w:t>
      </w:r>
      <w:r w:rsidRPr="00DC607D">
        <w:rPr>
          <w:rFonts w:ascii="Times New Roman" w:eastAsia="Times New Roman" w:hAnsi="Times New Roman"/>
          <w:b/>
          <w:bCs/>
          <w:sz w:val="24"/>
          <w:szCs w:val="24"/>
          <w:lang w:eastAsia="lv-LV"/>
        </w:rPr>
        <w:t>, nolikumu</w:t>
      </w:r>
    </w:p>
    <w:p w14:paraId="6881C428" w14:textId="77777777" w:rsidR="001E242D" w:rsidRPr="006D5949" w:rsidRDefault="001E242D" w:rsidP="001E242D">
      <w:pPr>
        <w:jc w:val="both"/>
        <w:rPr>
          <w:rFonts w:ascii="Times New Roman" w:hAnsi="Times New Roman" w:cs="Times New Roman"/>
          <w:b/>
          <w:sz w:val="24"/>
          <w:szCs w:val="24"/>
        </w:rPr>
      </w:pPr>
    </w:p>
    <w:p w14:paraId="54A14CC4" w14:textId="77777777" w:rsidR="001E242D" w:rsidRPr="001E242D" w:rsidRDefault="001E242D" w:rsidP="001E242D">
      <w:pPr>
        <w:spacing w:after="120" w:line="276" w:lineRule="auto"/>
        <w:ind w:right="-624"/>
        <w:jc w:val="both"/>
        <w:rPr>
          <w:rFonts w:ascii="Times New Roman" w:hAnsi="Times New Roman" w:cs="Times New Roman"/>
          <w:b/>
          <w:bCs/>
          <w:sz w:val="24"/>
          <w:szCs w:val="24"/>
        </w:rPr>
      </w:pPr>
      <w:r w:rsidRPr="001E242D">
        <w:rPr>
          <w:rFonts w:ascii="Times New Roman" w:hAnsi="Times New Roman" w:cs="Times New Roman"/>
          <w:b/>
          <w:bCs/>
          <w:sz w:val="24"/>
          <w:szCs w:val="24"/>
        </w:rPr>
        <w:t>1. jautājums:</w:t>
      </w:r>
    </w:p>
    <w:p w14:paraId="4B0AEA2C" w14:textId="77777777" w:rsidR="001E242D" w:rsidRPr="001E242D" w:rsidRDefault="001E242D" w:rsidP="001E242D">
      <w:pPr>
        <w:spacing w:before="120" w:after="120" w:line="276" w:lineRule="auto"/>
        <w:ind w:right="-624"/>
        <w:jc w:val="both"/>
        <w:rPr>
          <w:rFonts w:ascii="Times New Roman" w:eastAsia="Calibri" w:hAnsi="Times New Roman" w:cs="Times New Roman"/>
          <w:sz w:val="24"/>
          <w:szCs w:val="24"/>
        </w:rPr>
      </w:pPr>
      <w:r w:rsidRPr="001E242D">
        <w:rPr>
          <w:rFonts w:ascii="Times New Roman" w:eastAsia="Calibri" w:hAnsi="Times New Roman" w:cs="Times New Roman"/>
          <w:sz w:val="24"/>
          <w:szCs w:val="24"/>
        </w:rPr>
        <w:t xml:space="preserve">Specifikācijā ir prasīts 0.015 </w:t>
      </w:r>
      <w:r w:rsidRPr="001E242D">
        <w:rPr>
          <w:rFonts w:ascii="Times New Roman" w:eastAsia="Calibri" w:hAnsi="Times New Roman" w:cs="Times New Roman"/>
          <w:sz w:val="24"/>
          <w:szCs w:val="24"/>
          <w:lang w:val="en-GB"/>
        </w:rPr>
        <w:t>Heading accuracy</w:t>
      </w:r>
      <w:r w:rsidRPr="001E242D">
        <w:rPr>
          <w:rFonts w:ascii="Times New Roman" w:eastAsia="Calibri" w:hAnsi="Times New Roman" w:cs="Times New Roman"/>
          <w:sz w:val="24"/>
          <w:szCs w:val="24"/>
        </w:rPr>
        <w:t xml:space="preserve">. Sistēmai, kuru plānojam piegādāt, mūsu inženieri iesaka 0.035 grādu </w:t>
      </w:r>
      <w:r w:rsidRPr="001E242D">
        <w:rPr>
          <w:rFonts w:ascii="Times New Roman" w:eastAsia="Calibri" w:hAnsi="Times New Roman" w:cs="Times New Roman"/>
          <w:sz w:val="24"/>
          <w:szCs w:val="24"/>
          <w:lang w:val="en-GB"/>
        </w:rPr>
        <w:t>accuracy</w:t>
      </w:r>
      <w:r w:rsidRPr="001E242D">
        <w:rPr>
          <w:rFonts w:ascii="Times New Roman" w:eastAsia="Calibri" w:hAnsi="Times New Roman" w:cs="Times New Roman"/>
          <w:sz w:val="24"/>
          <w:szCs w:val="24"/>
        </w:rPr>
        <w:t xml:space="preserve"> sensoru. Pamatojums tam tāds, ka </w:t>
      </w:r>
      <w:r w:rsidRPr="001E242D">
        <w:rPr>
          <w:rFonts w:ascii="Times New Roman" w:eastAsia="Calibri" w:hAnsi="Times New Roman" w:cs="Times New Roman"/>
          <w:sz w:val="24"/>
          <w:szCs w:val="24"/>
          <w:lang w:val="en-GB"/>
        </w:rPr>
        <w:t>Heading</w:t>
      </w:r>
      <w:r w:rsidRPr="001E242D">
        <w:rPr>
          <w:rFonts w:ascii="Times New Roman" w:eastAsia="Calibri" w:hAnsi="Times New Roman" w:cs="Times New Roman"/>
          <w:sz w:val="24"/>
          <w:szCs w:val="24"/>
        </w:rPr>
        <w:t xml:space="preserve"> sensora ietekme uz sistēmas darbības </w:t>
      </w:r>
      <w:r w:rsidRPr="001E242D">
        <w:rPr>
          <w:rFonts w:ascii="Times New Roman" w:eastAsia="Calibri" w:hAnsi="Times New Roman" w:cs="Times New Roman"/>
          <w:sz w:val="24"/>
          <w:szCs w:val="24"/>
          <w:lang w:val="en-GB"/>
        </w:rPr>
        <w:t>overall accuracy</w:t>
      </w:r>
      <w:r w:rsidRPr="001E242D">
        <w:rPr>
          <w:rFonts w:ascii="Times New Roman" w:eastAsia="Calibri" w:hAnsi="Times New Roman" w:cs="Times New Roman"/>
          <w:sz w:val="24"/>
          <w:szCs w:val="24"/>
        </w:rPr>
        <w:t xml:space="preserve"> rādītājiem ir mazāka kā </w:t>
      </w:r>
      <w:r w:rsidRPr="001E242D">
        <w:rPr>
          <w:rFonts w:ascii="Times New Roman" w:eastAsia="Calibri" w:hAnsi="Times New Roman" w:cs="Times New Roman"/>
          <w:sz w:val="24"/>
          <w:szCs w:val="24"/>
          <w:lang w:val="en-GB"/>
        </w:rPr>
        <w:t>Roll/Pitch</w:t>
      </w:r>
      <w:r w:rsidRPr="001E242D">
        <w:rPr>
          <w:rFonts w:ascii="Times New Roman" w:eastAsia="Calibri" w:hAnsi="Times New Roman" w:cs="Times New Roman"/>
          <w:sz w:val="24"/>
          <w:szCs w:val="24"/>
        </w:rPr>
        <w:t xml:space="preserve">. Tādējādi palielinot </w:t>
      </w:r>
      <w:r w:rsidRPr="001E242D">
        <w:rPr>
          <w:rFonts w:ascii="Times New Roman" w:eastAsia="Calibri" w:hAnsi="Times New Roman" w:cs="Times New Roman"/>
          <w:sz w:val="24"/>
          <w:szCs w:val="24"/>
          <w:lang w:val="en-GB"/>
        </w:rPr>
        <w:t>Roll/Pitch accuracy</w:t>
      </w:r>
      <w:r w:rsidRPr="001E242D">
        <w:rPr>
          <w:rFonts w:ascii="Times New Roman" w:eastAsia="Calibri" w:hAnsi="Times New Roman" w:cs="Times New Roman"/>
          <w:sz w:val="24"/>
          <w:szCs w:val="24"/>
        </w:rPr>
        <w:t xml:space="preserve"> uz augstāku precizitāti kā 0.018 grādu, mēs varam sasniegt iekārtas darbības kvalitāti ekvivalenti augstu kā ar 0.015 grādu </w:t>
      </w:r>
      <w:r w:rsidRPr="001E242D">
        <w:rPr>
          <w:rFonts w:ascii="Times New Roman" w:eastAsia="Calibri" w:hAnsi="Times New Roman" w:cs="Times New Roman"/>
          <w:sz w:val="24"/>
          <w:szCs w:val="24"/>
          <w:lang w:val="en-GB"/>
        </w:rPr>
        <w:t>Heading</w:t>
      </w:r>
      <w:r w:rsidRPr="001E242D">
        <w:rPr>
          <w:rFonts w:ascii="Times New Roman" w:eastAsia="Calibri" w:hAnsi="Times New Roman" w:cs="Times New Roman"/>
          <w:sz w:val="24"/>
          <w:szCs w:val="24"/>
        </w:rPr>
        <w:t xml:space="preserve">, kas nespēlē tik lielu lomu. Šādu sensoru priekš 0.015 grādu sasniegšanas varam izmantot un piegādāt, taču tas izmaksās orientējoši 150 000 EUR vairāk, un inženieri neuzskata, ka tieši šo parametru iekārtai šī cenas starpība ir adekvāta tam pienesumam, ko šis parametrs dotu, vai precīzāk šajā gadījumā - nedotu. Tamdēļ vēlamies precizēt, vai ir iespējams vienoties par </w:t>
      </w:r>
      <w:r w:rsidRPr="001E242D">
        <w:rPr>
          <w:rFonts w:ascii="Times New Roman" w:eastAsia="Calibri" w:hAnsi="Times New Roman" w:cs="Times New Roman"/>
          <w:sz w:val="24"/>
          <w:szCs w:val="24"/>
          <w:lang w:val="en-GB"/>
        </w:rPr>
        <w:t>Heading</w:t>
      </w:r>
      <w:r w:rsidRPr="001E242D">
        <w:rPr>
          <w:rFonts w:ascii="Times New Roman" w:eastAsia="Calibri" w:hAnsi="Times New Roman" w:cs="Times New Roman"/>
          <w:sz w:val="24"/>
          <w:szCs w:val="24"/>
        </w:rPr>
        <w:t xml:space="preserve"> 0.015 parametra pielaides palielināšanu uz </w:t>
      </w:r>
      <w:r w:rsidRPr="001E242D">
        <w:rPr>
          <w:rFonts w:ascii="Times New Roman" w:eastAsia="Calibri" w:hAnsi="Times New Roman" w:cs="Times New Roman"/>
          <w:sz w:val="24"/>
          <w:szCs w:val="24"/>
          <w:lang w:val="en-GB"/>
        </w:rPr>
        <w:t>Heading</w:t>
      </w:r>
      <w:r w:rsidRPr="001E242D">
        <w:rPr>
          <w:rFonts w:ascii="Times New Roman" w:eastAsia="Calibri" w:hAnsi="Times New Roman" w:cs="Times New Roman"/>
          <w:sz w:val="24"/>
          <w:szCs w:val="24"/>
        </w:rPr>
        <w:t xml:space="preserve"> 0.035?</w:t>
      </w:r>
    </w:p>
    <w:p w14:paraId="7CC67432" w14:textId="77777777" w:rsidR="001E242D" w:rsidRPr="001E242D" w:rsidRDefault="001E242D" w:rsidP="001E242D">
      <w:pPr>
        <w:spacing w:after="120" w:line="276" w:lineRule="auto"/>
        <w:ind w:right="-624"/>
        <w:jc w:val="both"/>
        <w:rPr>
          <w:rFonts w:ascii="Times New Roman" w:hAnsi="Times New Roman" w:cs="Times New Roman"/>
          <w:b/>
          <w:bCs/>
          <w:sz w:val="24"/>
          <w:szCs w:val="24"/>
        </w:rPr>
      </w:pPr>
      <w:r w:rsidRPr="001E242D">
        <w:rPr>
          <w:rFonts w:ascii="Times New Roman" w:hAnsi="Times New Roman" w:cs="Times New Roman"/>
          <w:b/>
          <w:bCs/>
          <w:sz w:val="24"/>
          <w:szCs w:val="24"/>
        </w:rPr>
        <w:t>2. jautājums:</w:t>
      </w:r>
    </w:p>
    <w:p w14:paraId="646496AD" w14:textId="77777777" w:rsidR="001E242D" w:rsidRPr="001E242D" w:rsidRDefault="001E242D" w:rsidP="001E242D">
      <w:pPr>
        <w:spacing w:before="120" w:after="120" w:line="276" w:lineRule="auto"/>
        <w:ind w:right="-624"/>
        <w:jc w:val="both"/>
        <w:rPr>
          <w:rFonts w:ascii="Times New Roman" w:hAnsi="Times New Roman" w:cs="Times New Roman"/>
          <w:sz w:val="24"/>
          <w:szCs w:val="24"/>
        </w:rPr>
      </w:pPr>
      <w:r w:rsidRPr="001E242D">
        <w:rPr>
          <w:rFonts w:ascii="Times New Roman" w:hAnsi="Times New Roman" w:cs="Times New Roman"/>
          <w:sz w:val="24"/>
          <w:szCs w:val="24"/>
        </w:rPr>
        <w:t xml:space="preserve">Attiecīgi jautājums par 400Hz un vairāk pozīciju. Vai lūdzu variet apstiprināt, ka ja startēsim konkursā ar iekārtu, kuras specifikācijā būs 200Hz, mūsu piedāvājums tiks pieņemts? Jo šobrīd neredzam specifikācijā izmaiņas. Šāda prasība ir nepamatota no inženiertehniskā viedokļa, un vienreiz jau mēs šo esam izrunājuši, kur jūsu eksperti ir atzinuši, ka jā, 200Hz derēs. Vēlamies šo precizēt un atrunāt, lai </w:t>
      </w:r>
      <w:proofErr w:type="spellStart"/>
      <w:r w:rsidRPr="001E242D">
        <w:rPr>
          <w:rFonts w:ascii="Times New Roman" w:hAnsi="Times New Roman" w:cs="Times New Roman"/>
          <w:sz w:val="24"/>
          <w:szCs w:val="24"/>
        </w:rPr>
        <w:t>nerodās</w:t>
      </w:r>
      <w:proofErr w:type="spellEnd"/>
      <w:r w:rsidRPr="001E242D">
        <w:rPr>
          <w:rFonts w:ascii="Times New Roman" w:hAnsi="Times New Roman" w:cs="Times New Roman"/>
          <w:sz w:val="24"/>
          <w:szCs w:val="24"/>
        </w:rPr>
        <w:t xml:space="preserve"> problēmas.</w:t>
      </w:r>
    </w:p>
    <w:p w14:paraId="01F55613" w14:textId="77777777" w:rsidR="001E242D" w:rsidRPr="001E242D" w:rsidRDefault="001E242D" w:rsidP="001E242D">
      <w:pPr>
        <w:spacing w:after="120" w:line="276" w:lineRule="auto"/>
        <w:ind w:right="-624"/>
        <w:jc w:val="both"/>
        <w:rPr>
          <w:rFonts w:ascii="Times New Roman" w:hAnsi="Times New Roman" w:cs="Times New Roman"/>
          <w:b/>
          <w:bCs/>
          <w:sz w:val="24"/>
          <w:szCs w:val="24"/>
        </w:rPr>
      </w:pPr>
      <w:r w:rsidRPr="001E242D">
        <w:rPr>
          <w:rFonts w:ascii="Times New Roman" w:hAnsi="Times New Roman" w:cs="Times New Roman"/>
          <w:b/>
          <w:bCs/>
          <w:sz w:val="24"/>
          <w:szCs w:val="24"/>
        </w:rPr>
        <w:t>3. jautājums:</w:t>
      </w:r>
    </w:p>
    <w:p w14:paraId="027EF5C7" w14:textId="35B3E405" w:rsidR="001E242D" w:rsidRPr="001E242D" w:rsidRDefault="001E242D" w:rsidP="001E242D">
      <w:pPr>
        <w:spacing w:before="120" w:after="120" w:line="276" w:lineRule="auto"/>
        <w:ind w:right="-624"/>
        <w:jc w:val="both"/>
        <w:rPr>
          <w:sz w:val="24"/>
          <w:szCs w:val="24"/>
        </w:rPr>
      </w:pPr>
      <w:r w:rsidRPr="001E242D">
        <w:rPr>
          <w:rFonts w:ascii="Times New Roman" w:eastAsia="Calibri" w:hAnsi="Times New Roman" w:cs="Times New Roman"/>
          <w:sz w:val="24"/>
          <w:szCs w:val="24"/>
        </w:rPr>
        <w:t>Lūdzu, vai būtu iespējams izsniegt informāciju (rakstiski</w:t>
      </w:r>
      <w:r w:rsidR="000F19E9">
        <w:rPr>
          <w:rFonts w:ascii="Times New Roman" w:eastAsia="Calibri" w:hAnsi="Times New Roman" w:cs="Times New Roman"/>
          <w:sz w:val="24"/>
          <w:szCs w:val="24"/>
        </w:rPr>
        <w:t> </w:t>
      </w:r>
      <w:r w:rsidRPr="001E242D">
        <w:rPr>
          <w:rFonts w:ascii="Times New Roman" w:eastAsia="Calibri" w:hAnsi="Times New Roman" w:cs="Times New Roman"/>
          <w:sz w:val="24"/>
          <w:szCs w:val="24"/>
        </w:rPr>
        <w:t>+</w:t>
      </w:r>
      <w:r w:rsidR="000F19E9">
        <w:rPr>
          <w:rFonts w:ascii="Times New Roman" w:eastAsia="Calibri" w:hAnsi="Times New Roman" w:cs="Times New Roman"/>
          <w:sz w:val="24"/>
          <w:szCs w:val="24"/>
        </w:rPr>
        <w:t> </w:t>
      </w:r>
      <w:r w:rsidRPr="001E242D">
        <w:rPr>
          <w:rFonts w:ascii="Times New Roman" w:eastAsia="Calibri" w:hAnsi="Times New Roman" w:cs="Times New Roman"/>
          <w:sz w:val="24"/>
          <w:szCs w:val="24"/>
        </w:rPr>
        <w:t xml:space="preserve">fotoattēli) par AN2 28V </w:t>
      </w:r>
      <w:r w:rsidRPr="001E242D">
        <w:rPr>
          <w:rFonts w:ascii="Times New Roman" w:eastAsia="Calibri" w:hAnsi="Times New Roman" w:cs="Times New Roman"/>
          <w:sz w:val="24"/>
          <w:szCs w:val="24"/>
          <w:lang w:val="en-GB"/>
        </w:rPr>
        <w:t>power output</w:t>
      </w:r>
      <w:r w:rsidRPr="001E242D">
        <w:rPr>
          <w:rFonts w:ascii="Times New Roman" w:eastAsia="Calibri" w:hAnsi="Times New Roman" w:cs="Times New Roman"/>
          <w:sz w:val="24"/>
          <w:szCs w:val="24"/>
        </w:rPr>
        <w:t>?</w:t>
      </w:r>
    </w:p>
    <w:p w14:paraId="5BA78A70" w14:textId="77777777" w:rsidR="001E242D" w:rsidRPr="001E242D" w:rsidRDefault="001E242D" w:rsidP="001E242D">
      <w:pPr>
        <w:ind w:right="-483"/>
        <w:jc w:val="both"/>
        <w:rPr>
          <w:rFonts w:ascii="Times New Roman" w:hAnsi="Times New Roman" w:cs="Times New Roman"/>
          <w:b/>
          <w:sz w:val="24"/>
          <w:szCs w:val="24"/>
        </w:rPr>
      </w:pPr>
      <w:r w:rsidRPr="001E242D">
        <w:rPr>
          <w:rFonts w:ascii="Times New Roman" w:hAnsi="Times New Roman" w:cs="Times New Roman"/>
          <w:b/>
          <w:sz w:val="24"/>
          <w:szCs w:val="24"/>
        </w:rPr>
        <w:t>Atbilde:</w:t>
      </w:r>
    </w:p>
    <w:p w14:paraId="23C25371" w14:textId="02EBD980" w:rsidR="000F19E9" w:rsidRPr="000F19E9" w:rsidRDefault="000F19E9" w:rsidP="000F19E9">
      <w:pPr>
        <w:spacing w:before="120" w:after="120" w:line="276" w:lineRule="auto"/>
        <w:ind w:right="-624"/>
        <w:jc w:val="both"/>
        <w:rPr>
          <w:rFonts w:ascii="Times New Roman" w:eastAsia="Calibri" w:hAnsi="Times New Roman" w:cs="Times New Roman"/>
          <w:sz w:val="24"/>
          <w:szCs w:val="24"/>
        </w:rPr>
      </w:pPr>
      <w:r w:rsidRPr="000F19E9">
        <w:rPr>
          <w:rFonts w:ascii="Times New Roman" w:eastAsia="Calibri" w:hAnsi="Times New Roman" w:cs="Times New Roman"/>
          <w:sz w:val="24"/>
          <w:szCs w:val="24"/>
        </w:rPr>
        <w:t>Sarunu procedūra VALIC</w:t>
      </w:r>
      <w:r w:rsidR="008C1E6C">
        <w:rPr>
          <w:rFonts w:ascii="Times New Roman" w:eastAsia="Calibri" w:hAnsi="Times New Roman" w:cs="Times New Roman"/>
          <w:sz w:val="24"/>
          <w:szCs w:val="24"/>
        </w:rPr>
        <w:t> </w:t>
      </w:r>
      <w:r w:rsidRPr="000F19E9">
        <w:rPr>
          <w:rFonts w:ascii="Times New Roman" w:eastAsia="Calibri" w:hAnsi="Times New Roman" w:cs="Times New Roman"/>
          <w:sz w:val="24"/>
          <w:szCs w:val="24"/>
        </w:rPr>
        <w:t>2023/089/BN-A-SPP tiek rīkota saskaņā ar Aizsardzības un drošības jomas iepirkumu likuma (ADJIL) 6.</w:t>
      </w:r>
      <w:r>
        <w:rPr>
          <w:rFonts w:ascii="Times New Roman" w:eastAsia="Calibri" w:hAnsi="Times New Roman" w:cs="Times New Roman"/>
          <w:sz w:val="24"/>
          <w:szCs w:val="24"/>
        </w:rPr>
        <w:t> </w:t>
      </w:r>
      <w:r w:rsidRPr="000F19E9">
        <w:rPr>
          <w:rFonts w:ascii="Times New Roman" w:eastAsia="Calibri" w:hAnsi="Times New Roman" w:cs="Times New Roman"/>
          <w:sz w:val="24"/>
          <w:szCs w:val="24"/>
        </w:rPr>
        <w:t>panta ceturto daļu un pēc pieteikumu iesniegšanas iepirkuma komisija vispirms veiks kandidātu atlasi saskaņā ar sarunu procedūras nolikumā noteiktajām prasībām. Saskaņā ar ADJIL 44.</w:t>
      </w:r>
      <w:r>
        <w:rPr>
          <w:rFonts w:ascii="Times New Roman" w:eastAsia="Calibri" w:hAnsi="Times New Roman" w:cs="Times New Roman"/>
          <w:sz w:val="24"/>
          <w:szCs w:val="24"/>
        </w:rPr>
        <w:t> </w:t>
      </w:r>
      <w:r w:rsidRPr="000F19E9">
        <w:rPr>
          <w:rFonts w:ascii="Times New Roman" w:eastAsia="Calibri" w:hAnsi="Times New Roman" w:cs="Times New Roman"/>
          <w:sz w:val="24"/>
          <w:szCs w:val="24"/>
        </w:rPr>
        <w:t>panta otro daļu, lai izvērtētu, vai kandidāts nav izslēdzams no dalības sarunu procedūrā un būtu uzaicināms iesniegt tehnisko un finanšu piedāvājumu. Iepirkuma komisija norāda, ka saskaņā ar sarunu procedūras nolikuma prasībām, kas tika publicētas 14.03.2024.</w:t>
      </w:r>
      <w:r>
        <w:rPr>
          <w:rFonts w:ascii="Times New Roman" w:eastAsia="Calibri" w:hAnsi="Times New Roman" w:cs="Times New Roman"/>
          <w:sz w:val="24"/>
          <w:szCs w:val="24"/>
        </w:rPr>
        <w:t> </w:t>
      </w:r>
      <w:r w:rsidRPr="000F19E9">
        <w:rPr>
          <w:rFonts w:ascii="Times New Roman" w:eastAsia="Calibri" w:hAnsi="Times New Roman" w:cs="Times New Roman"/>
          <w:sz w:val="24"/>
          <w:szCs w:val="24"/>
        </w:rPr>
        <w:t>Elektronisko iepirkumu sistēmā, tehniskā specifikācija ir pievienota informatīvi un tehniskās specifikācijas prasības līdz uzaicinājuma nosūtīšanai iesniegt kandidātiem piedāvājumu, kuri izturēs atlases posmu, var tikt precizētas, līdz ar to, atbildes uz jautājumiem par tehnisko specifikāciju, ja tādi radīsies, iepirkuma komisija sniegs procedūras otrajā posmā kandidātiem, kuri būs izturējuši kandidātu atlasi un būs uzaicināti iesniegt piedāvājumu.</w:t>
      </w:r>
    </w:p>
    <w:p w14:paraId="7107D18B" w14:textId="77777777" w:rsidR="000F19E9" w:rsidRPr="000F19E9" w:rsidRDefault="000F19E9" w:rsidP="000F19E9">
      <w:pPr>
        <w:spacing w:before="120" w:after="120" w:line="276" w:lineRule="auto"/>
        <w:ind w:right="-624"/>
        <w:jc w:val="both"/>
        <w:rPr>
          <w:rFonts w:ascii="Times New Roman" w:eastAsia="Calibri" w:hAnsi="Times New Roman" w:cs="Times New Roman"/>
          <w:sz w:val="24"/>
          <w:szCs w:val="24"/>
        </w:rPr>
      </w:pPr>
      <w:r w:rsidRPr="000F19E9">
        <w:rPr>
          <w:rFonts w:ascii="Times New Roman" w:eastAsia="Calibri" w:hAnsi="Times New Roman" w:cs="Times New Roman"/>
          <w:sz w:val="24"/>
          <w:szCs w:val="24"/>
        </w:rPr>
        <w:t>Informējam, ka pasūtītājs ir iepazinies ar ieinteresētā piegādātāja iesniegto jautājumu un pasūtītājs izvērtēs, un ja būs nepieciešams ņems vērā sagatavojot uzaicinājumu iesniegt tehnisko un finanšu piedāvājumu.</w:t>
      </w:r>
    </w:p>
    <w:p w14:paraId="53FEA3E0" w14:textId="77777777" w:rsidR="000F19E9" w:rsidRPr="000F19E9" w:rsidRDefault="000F19E9" w:rsidP="000F19E9">
      <w:pPr>
        <w:spacing w:before="120" w:after="120" w:line="276" w:lineRule="auto"/>
        <w:ind w:right="-624"/>
        <w:jc w:val="both"/>
        <w:rPr>
          <w:rFonts w:ascii="Times New Roman" w:eastAsia="Calibri" w:hAnsi="Times New Roman" w:cs="Times New Roman"/>
          <w:sz w:val="24"/>
          <w:szCs w:val="24"/>
        </w:rPr>
      </w:pPr>
      <w:r w:rsidRPr="000F19E9">
        <w:rPr>
          <w:rFonts w:ascii="Times New Roman" w:eastAsia="Calibri" w:hAnsi="Times New Roman" w:cs="Times New Roman"/>
          <w:sz w:val="24"/>
          <w:szCs w:val="24"/>
        </w:rPr>
        <w:lastRenderedPageBreak/>
        <w:t>Vienlaikus, iepirkumu komisija aicina ieinteresēto piegādātāju pārskatīt Elektronisko iepirkumu sistēmā publicēto nolikumu un tehnisko specifikāciju, jo tehniskā specifikācija nesatur parametru “400Hz”.</w:t>
      </w:r>
    </w:p>
    <w:p w14:paraId="48C66E32" w14:textId="3D22299F" w:rsidR="000F19E9" w:rsidRDefault="000F19E9" w:rsidP="000F19E9">
      <w:pPr>
        <w:spacing w:before="120" w:after="120" w:line="276" w:lineRule="auto"/>
        <w:ind w:right="-624"/>
        <w:jc w:val="both"/>
        <w:rPr>
          <w:rFonts w:ascii="Times New Roman" w:eastAsia="Calibri" w:hAnsi="Times New Roman" w:cs="Times New Roman"/>
          <w:sz w:val="24"/>
          <w:szCs w:val="24"/>
        </w:rPr>
      </w:pPr>
      <w:r w:rsidRPr="000F19E9">
        <w:rPr>
          <w:rFonts w:ascii="Times New Roman" w:eastAsia="Calibri" w:hAnsi="Times New Roman" w:cs="Times New Roman"/>
          <w:sz w:val="24"/>
          <w:szCs w:val="24"/>
        </w:rPr>
        <w:t xml:space="preserve">Pasūtītāja pārstāvis iepirkumu komisijai ir iesniedzis fotoattēlus ar skaidrojumiem par AN2 28V </w:t>
      </w:r>
      <w:r w:rsidRPr="000F19E9">
        <w:rPr>
          <w:rFonts w:ascii="Times New Roman" w:eastAsia="Calibri" w:hAnsi="Times New Roman" w:cs="Times New Roman"/>
          <w:sz w:val="24"/>
          <w:szCs w:val="24"/>
          <w:lang w:val="en-GB"/>
        </w:rPr>
        <w:t>power output</w:t>
      </w:r>
      <w:r w:rsidRPr="000F19E9">
        <w:rPr>
          <w:rFonts w:ascii="Times New Roman" w:eastAsia="Calibri" w:hAnsi="Times New Roman" w:cs="Times New Roman"/>
          <w:sz w:val="24"/>
          <w:szCs w:val="24"/>
        </w:rPr>
        <w:t xml:space="preserve"> (skatīt 1.</w:t>
      </w:r>
      <w:r>
        <w:rPr>
          <w:rFonts w:ascii="Times New Roman" w:eastAsia="Calibri" w:hAnsi="Times New Roman" w:cs="Times New Roman"/>
          <w:sz w:val="24"/>
          <w:szCs w:val="24"/>
        </w:rPr>
        <w:t> </w:t>
      </w:r>
      <w:r w:rsidRPr="000F19E9">
        <w:rPr>
          <w:rFonts w:ascii="Times New Roman" w:eastAsia="Calibri" w:hAnsi="Times New Roman" w:cs="Times New Roman"/>
          <w:sz w:val="24"/>
          <w:szCs w:val="24"/>
        </w:rPr>
        <w:t>pielikumu). Iepirkumu komisijas vienojas sniegtajai atbildei pievienot arī pasūtītāja pārstāvja iesniegtos fotoattēlus ar skaidrojumiem.</w:t>
      </w:r>
    </w:p>
    <w:p w14:paraId="076EFEB0" w14:textId="114324D7" w:rsidR="000F19E9" w:rsidRPr="000F19E9" w:rsidRDefault="000F19E9" w:rsidP="000F19E9">
      <w:pPr>
        <w:spacing w:after="160" w:line="259" w:lineRule="auto"/>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64AF1AFA" w14:textId="2114C3A1" w:rsidR="001E242D" w:rsidRPr="001E242D" w:rsidRDefault="000F19E9" w:rsidP="000F19E9">
      <w:pPr>
        <w:spacing w:before="120" w:after="120" w:line="276" w:lineRule="auto"/>
        <w:ind w:right="-624"/>
        <w:jc w:val="both"/>
        <w:rPr>
          <w:rFonts w:ascii="Times New Roman" w:eastAsia="Calibri" w:hAnsi="Times New Roman" w:cs="Times New Roman"/>
          <w:sz w:val="24"/>
          <w:szCs w:val="24"/>
        </w:rPr>
      </w:pPr>
      <w:r>
        <w:rPr>
          <w:rFonts w:ascii="Times New Roman" w:eastAsia="Calibri" w:hAnsi="Times New Roman" w:cs="Times New Roman"/>
          <w:b/>
          <w:bCs/>
          <w:sz w:val="24"/>
          <w:szCs w:val="24"/>
        </w:rPr>
        <w:lastRenderedPageBreak/>
        <w:t>1. </w:t>
      </w:r>
      <w:r w:rsidR="001E242D" w:rsidRPr="001E242D">
        <w:rPr>
          <w:rFonts w:ascii="Times New Roman" w:eastAsia="Calibri" w:hAnsi="Times New Roman" w:cs="Times New Roman"/>
          <w:b/>
          <w:bCs/>
          <w:sz w:val="24"/>
          <w:szCs w:val="24"/>
        </w:rPr>
        <w:t>Pielikums</w:t>
      </w:r>
    </w:p>
    <w:tbl>
      <w:tblPr>
        <w:tblStyle w:val="TableGrid"/>
        <w:tblpPr w:leftFromText="180" w:rightFromText="180" w:vertAnchor="text" w:horzAnchor="margin" w:tblpY="286"/>
        <w:tblW w:w="9351" w:type="dxa"/>
        <w:tblLook w:val="04A0" w:firstRow="1" w:lastRow="0" w:firstColumn="1" w:lastColumn="0" w:noHBand="0" w:noVBand="1"/>
      </w:tblPr>
      <w:tblGrid>
        <w:gridCol w:w="541"/>
        <w:gridCol w:w="4274"/>
        <w:gridCol w:w="4536"/>
      </w:tblGrid>
      <w:tr w:rsidR="001E242D" w:rsidRPr="001E242D" w14:paraId="252C8BAD" w14:textId="77777777" w:rsidTr="001E242D">
        <w:trPr>
          <w:trHeight w:val="4241"/>
        </w:trPr>
        <w:tc>
          <w:tcPr>
            <w:tcW w:w="541" w:type="dxa"/>
            <w:vAlign w:val="center"/>
          </w:tcPr>
          <w:p w14:paraId="2CAAD0AC" w14:textId="77777777" w:rsidR="001E242D" w:rsidRPr="001E242D" w:rsidRDefault="001E242D" w:rsidP="00C82F74">
            <w:pPr>
              <w:jc w:val="center"/>
              <w:rPr>
                <w:rFonts w:ascii="Times New Roman" w:hAnsi="Times New Roman" w:cs="Times New Roman"/>
                <w:noProof/>
              </w:rPr>
            </w:pPr>
            <w:r w:rsidRPr="001E242D">
              <w:rPr>
                <w:rFonts w:ascii="Times New Roman" w:hAnsi="Times New Roman" w:cs="Times New Roman"/>
                <w:noProof/>
              </w:rPr>
              <w:t>1.</w:t>
            </w:r>
          </w:p>
        </w:tc>
        <w:tc>
          <w:tcPr>
            <w:tcW w:w="4274" w:type="dxa"/>
          </w:tcPr>
          <w:p w14:paraId="301426E2" w14:textId="77777777" w:rsidR="001E242D" w:rsidRPr="001E242D" w:rsidRDefault="001E242D" w:rsidP="00C82F74">
            <w:pPr>
              <w:rPr>
                <w:rFonts w:ascii="Times New Roman" w:hAnsi="Times New Roman" w:cs="Times New Roman"/>
              </w:rPr>
            </w:pPr>
            <w:r w:rsidRPr="001E242D">
              <w:rPr>
                <w:rFonts w:ascii="Times New Roman" w:hAnsi="Times New Roman" w:cs="Times New Roman"/>
                <w:noProof/>
              </w:rPr>
              <w:drawing>
                <wp:anchor distT="0" distB="0" distL="114300" distR="114300" simplePos="0" relativeHeight="251659264" behindDoc="0" locked="0" layoutInCell="1" allowOverlap="1" wp14:anchorId="154541BE" wp14:editId="1CF7D1BE">
                  <wp:simplePos x="0" y="0"/>
                  <wp:positionH relativeFrom="margin">
                    <wp:posOffset>318218</wp:posOffset>
                  </wp:positionH>
                  <wp:positionV relativeFrom="paragraph">
                    <wp:posOffset>149888</wp:posOffset>
                  </wp:positionV>
                  <wp:extent cx="1836751" cy="2449068"/>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41044" cy="2454792"/>
                          </a:xfrm>
                          <a:prstGeom prst="rect">
                            <a:avLst/>
                          </a:prstGeom>
                        </pic:spPr>
                      </pic:pic>
                    </a:graphicData>
                  </a:graphic>
                  <wp14:sizeRelH relativeFrom="page">
                    <wp14:pctWidth>0</wp14:pctWidth>
                  </wp14:sizeRelH>
                  <wp14:sizeRelV relativeFrom="page">
                    <wp14:pctHeight>0</wp14:pctHeight>
                  </wp14:sizeRelV>
                </wp:anchor>
              </w:drawing>
            </w:r>
          </w:p>
        </w:tc>
        <w:tc>
          <w:tcPr>
            <w:tcW w:w="4536" w:type="dxa"/>
          </w:tcPr>
          <w:p w14:paraId="1024821F" w14:textId="77777777" w:rsidR="001E242D" w:rsidRPr="001E242D" w:rsidRDefault="001E242D" w:rsidP="00C82F74">
            <w:pPr>
              <w:rPr>
                <w:rFonts w:ascii="Times New Roman" w:hAnsi="Times New Roman" w:cs="Times New Roman"/>
                <w:sz w:val="24"/>
                <w:szCs w:val="24"/>
              </w:rPr>
            </w:pPr>
          </w:p>
          <w:p w14:paraId="63A0A6D1" w14:textId="77777777" w:rsidR="001E242D" w:rsidRPr="001E242D" w:rsidRDefault="001E242D" w:rsidP="00C82F74">
            <w:pPr>
              <w:rPr>
                <w:rFonts w:ascii="Times New Roman" w:hAnsi="Times New Roman" w:cs="Times New Roman"/>
                <w:sz w:val="24"/>
                <w:szCs w:val="24"/>
              </w:rPr>
            </w:pPr>
            <w:r w:rsidRPr="001E242D">
              <w:rPr>
                <w:rFonts w:ascii="Times New Roman" w:hAnsi="Times New Roman" w:cs="Times New Roman"/>
                <w:sz w:val="24"/>
                <w:szCs w:val="24"/>
              </w:rPr>
              <w:t xml:space="preserve">Akumulatora kaste, kas ir paredzēta 2X 12V akumulatoriem, kas saslēgti ķēdē, no kuriem tiek ņemta galvenā strāva ārējiem avotiem. </w:t>
            </w:r>
          </w:p>
        </w:tc>
      </w:tr>
      <w:tr w:rsidR="001E242D" w:rsidRPr="001E242D" w14:paraId="3996DB10" w14:textId="77777777" w:rsidTr="001E242D">
        <w:trPr>
          <w:trHeight w:val="3407"/>
        </w:trPr>
        <w:tc>
          <w:tcPr>
            <w:tcW w:w="541" w:type="dxa"/>
            <w:vAlign w:val="center"/>
          </w:tcPr>
          <w:p w14:paraId="38F726F8" w14:textId="77777777" w:rsidR="001E242D" w:rsidRPr="001E242D" w:rsidRDefault="001E242D" w:rsidP="00C82F74">
            <w:pPr>
              <w:jc w:val="center"/>
              <w:rPr>
                <w:rFonts w:ascii="Times New Roman" w:hAnsi="Times New Roman" w:cs="Times New Roman"/>
              </w:rPr>
            </w:pPr>
            <w:r w:rsidRPr="001E242D">
              <w:rPr>
                <w:rFonts w:ascii="Times New Roman" w:hAnsi="Times New Roman" w:cs="Times New Roman"/>
              </w:rPr>
              <w:t>2.</w:t>
            </w:r>
          </w:p>
        </w:tc>
        <w:tc>
          <w:tcPr>
            <w:tcW w:w="4274" w:type="dxa"/>
          </w:tcPr>
          <w:p w14:paraId="7C9EB7A1" w14:textId="77777777" w:rsidR="001E242D" w:rsidRPr="001E242D" w:rsidRDefault="001E242D" w:rsidP="00C82F74">
            <w:pPr>
              <w:rPr>
                <w:rFonts w:ascii="Times New Roman" w:hAnsi="Times New Roman" w:cs="Times New Roman"/>
              </w:rPr>
            </w:pPr>
            <w:r w:rsidRPr="001E242D">
              <w:rPr>
                <w:rFonts w:ascii="Times New Roman" w:hAnsi="Times New Roman" w:cs="Times New Roman"/>
                <w:noProof/>
              </w:rPr>
              <w:drawing>
                <wp:anchor distT="0" distB="0" distL="114300" distR="114300" simplePos="0" relativeHeight="251660288" behindDoc="0" locked="0" layoutInCell="1" allowOverlap="1" wp14:anchorId="6A3636F2" wp14:editId="3CE6C259">
                  <wp:simplePos x="0" y="0"/>
                  <wp:positionH relativeFrom="column">
                    <wp:posOffset>118938</wp:posOffset>
                  </wp:positionH>
                  <wp:positionV relativeFrom="paragraph">
                    <wp:posOffset>177082</wp:posOffset>
                  </wp:positionV>
                  <wp:extent cx="2289976" cy="171735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name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9976" cy="1717359"/>
                          </a:xfrm>
                          <a:prstGeom prst="rect">
                            <a:avLst/>
                          </a:prstGeom>
                        </pic:spPr>
                      </pic:pic>
                    </a:graphicData>
                  </a:graphic>
                  <wp14:sizeRelH relativeFrom="page">
                    <wp14:pctWidth>0</wp14:pctWidth>
                  </wp14:sizeRelH>
                  <wp14:sizeRelV relativeFrom="page">
                    <wp14:pctHeight>0</wp14:pctHeight>
                  </wp14:sizeRelV>
                </wp:anchor>
              </w:drawing>
            </w:r>
          </w:p>
        </w:tc>
        <w:tc>
          <w:tcPr>
            <w:tcW w:w="4536" w:type="dxa"/>
          </w:tcPr>
          <w:p w14:paraId="094AA4FB" w14:textId="77777777" w:rsidR="001E242D" w:rsidRPr="001E242D" w:rsidRDefault="001E242D" w:rsidP="00C82F74">
            <w:pPr>
              <w:rPr>
                <w:rFonts w:ascii="Times New Roman" w:hAnsi="Times New Roman" w:cs="Times New Roman"/>
                <w:sz w:val="24"/>
                <w:szCs w:val="24"/>
              </w:rPr>
            </w:pPr>
          </w:p>
          <w:p w14:paraId="0FA7F60C" w14:textId="77777777" w:rsidR="001E242D" w:rsidRPr="001E242D" w:rsidRDefault="001E242D" w:rsidP="00C82F74">
            <w:pPr>
              <w:rPr>
                <w:rFonts w:ascii="Times New Roman" w:hAnsi="Times New Roman" w:cs="Times New Roman"/>
                <w:sz w:val="24"/>
                <w:szCs w:val="24"/>
              </w:rPr>
            </w:pPr>
            <w:proofErr w:type="spellStart"/>
            <w:r w:rsidRPr="001E242D">
              <w:rPr>
                <w:rFonts w:ascii="Times New Roman" w:hAnsi="Times New Roman" w:cs="Times New Roman"/>
                <w:sz w:val="24"/>
                <w:szCs w:val="24"/>
              </w:rPr>
              <w:t>Konektors</w:t>
            </w:r>
            <w:proofErr w:type="spellEnd"/>
            <w:r w:rsidRPr="001E242D">
              <w:rPr>
                <w:rFonts w:ascii="Times New Roman" w:hAnsi="Times New Roman" w:cs="Times New Roman"/>
                <w:sz w:val="24"/>
                <w:szCs w:val="24"/>
              </w:rPr>
              <w:t>, kur pievienojas akumulators.</w:t>
            </w:r>
          </w:p>
        </w:tc>
      </w:tr>
      <w:tr w:rsidR="001E242D" w:rsidRPr="001E242D" w14:paraId="5DFACC6D" w14:textId="77777777" w:rsidTr="001E242D">
        <w:trPr>
          <w:trHeight w:val="2960"/>
        </w:trPr>
        <w:tc>
          <w:tcPr>
            <w:tcW w:w="541" w:type="dxa"/>
            <w:vAlign w:val="center"/>
          </w:tcPr>
          <w:p w14:paraId="6B5ED132" w14:textId="77777777" w:rsidR="001E242D" w:rsidRPr="001E242D" w:rsidRDefault="001E242D" w:rsidP="00C82F74">
            <w:pPr>
              <w:jc w:val="center"/>
              <w:rPr>
                <w:rFonts w:ascii="Times New Roman" w:hAnsi="Times New Roman" w:cs="Times New Roman"/>
              </w:rPr>
            </w:pPr>
            <w:r w:rsidRPr="001E242D">
              <w:rPr>
                <w:rFonts w:ascii="Times New Roman" w:hAnsi="Times New Roman" w:cs="Times New Roman"/>
              </w:rPr>
              <w:t>3.</w:t>
            </w:r>
          </w:p>
        </w:tc>
        <w:tc>
          <w:tcPr>
            <w:tcW w:w="4274" w:type="dxa"/>
          </w:tcPr>
          <w:p w14:paraId="2F8C69F2" w14:textId="77777777" w:rsidR="001E242D" w:rsidRPr="001E242D" w:rsidRDefault="001E242D" w:rsidP="00C82F74">
            <w:pPr>
              <w:rPr>
                <w:rFonts w:ascii="Times New Roman" w:hAnsi="Times New Roman" w:cs="Times New Roman"/>
              </w:rPr>
            </w:pPr>
            <w:r w:rsidRPr="001E242D">
              <w:rPr>
                <w:rFonts w:ascii="Times New Roman" w:hAnsi="Times New Roman" w:cs="Times New Roman"/>
                <w:noProof/>
              </w:rPr>
              <w:drawing>
                <wp:anchor distT="0" distB="0" distL="114300" distR="114300" simplePos="0" relativeHeight="251661312" behindDoc="0" locked="0" layoutInCell="1" allowOverlap="1" wp14:anchorId="7BBAA167" wp14:editId="41CEDACA">
                  <wp:simplePos x="0" y="0"/>
                  <wp:positionH relativeFrom="column">
                    <wp:posOffset>158888</wp:posOffset>
                  </wp:positionH>
                  <wp:positionV relativeFrom="paragraph">
                    <wp:posOffset>154470</wp:posOffset>
                  </wp:positionV>
                  <wp:extent cx="2146686" cy="1610787"/>
                  <wp:effectExtent l="0" t="0" r="635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6686" cy="1610787"/>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tcPr>
          <w:p w14:paraId="38C92947" w14:textId="77777777" w:rsidR="001E242D" w:rsidRPr="001E242D" w:rsidRDefault="001E242D" w:rsidP="00C82F74">
            <w:pPr>
              <w:rPr>
                <w:rFonts w:ascii="Times New Roman" w:hAnsi="Times New Roman" w:cs="Times New Roman"/>
              </w:rPr>
            </w:pPr>
          </w:p>
          <w:p w14:paraId="184163C2" w14:textId="77777777" w:rsidR="001E242D" w:rsidRPr="001E242D" w:rsidRDefault="001E242D" w:rsidP="00C82F74">
            <w:pPr>
              <w:rPr>
                <w:rFonts w:ascii="Times New Roman" w:hAnsi="Times New Roman" w:cs="Times New Roman"/>
                <w:sz w:val="24"/>
                <w:szCs w:val="24"/>
              </w:rPr>
            </w:pPr>
            <w:r w:rsidRPr="001E242D">
              <w:rPr>
                <w:rFonts w:ascii="Times New Roman" w:hAnsi="Times New Roman" w:cs="Times New Roman"/>
                <w:sz w:val="24"/>
                <w:szCs w:val="24"/>
              </w:rPr>
              <w:t>Izejošās strāvas vadi, kas iziet no akumulatoriem.</w:t>
            </w:r>
          </w:p>
          <w:p w14:paraId="1F9CD096" w14:textId="77777777" w:rsidR="001E242D" w:rsidRPr="001E242D" w:rsidRDefault="001E242D" w:rsidP="00C82F74">
            <w:pPr>
              <w:rPr>
                <w:rFonts w:ascii="Times New Roman" w:hAnsi="Times New Roman" w:cs="Times New Roman"/>
              </w:rPr>
            </w:pPr>
          </w:p>
        </w:tc>
      </w:tr>
      <w:tr w:rsidR="001E242D" w:rsidRPr="001E242D" w14:paraId="4B80A7D9" w14:textId="77777777" w:rsidTr="001E242D">
        <w:trPr>
          <w:trHeight w:val="3109"/>
        </w:trPr>
        <w:tc>
          <w:tcPr>
            <w:tcW w:w="541" w:type="dxa"/>
            <w:vAlign w:val="center"/>
          </w:tcPr>
          <w:p w14:paraId="79816BCD" w14:textId="77777777" w:rsidR="001E242D" w:rsidRPr="001E242D" w:rsidRDefault="001E242D" w:rsidP="00C82F74">
            <w:pPr>
              <w:jc w:val="center"/>
              <w:rPr>
                <w:rFonts w:ascii="Times New Roman" w:hAnsi="Times New Roman" w:cs="Times New Roman"/>
              </w:rPr>
            </w:pPr>
            <w:r w:rsidRPr="001E242D">
              <w:rPr>
                <w:rFonts w:ascii="Times New Roman" w:hAnsi="Times New Roman" w:cs="Times New Roman"/>
              </w:rPr>
              <w:lastRenderedPageBreak/>
              <w:t>4.</w:t>
            </w:r>
          </w:p>
        </w:tc>
        <w:tc>
          <w:tcPr>
            <w:tcW w:w="4274" w:type="dxa"/>
          </w:tcPr>
          <w:p w14:paraId="7511A17D" w14:textId="77777777" w:rsidR="001E242D" w:rsidRPr="001E242D" w:rsidRDefault="001E242D" w:rsidP="00C82F74">
            <w:pPr>
              <w:rPr>
                <w:rFonts w:ascii="Times New Roman" w:hAnsi="Times New Roman" w:cs="Times New Roman"/>
                <w:noProof/>
              </w:rPr>
            </w:pPr>
            <w:r w:rsidRPr="001E242D">
              <w:rPr>
                <w:rFonts w:ascii="Times New Roman" w:hAnsi="Times New Roman" w:cs="Times New Roman"/>
                <w:noProof/>
              </w:rPr>
              <w:drawing>
                <wp:anchor distT="0" distB="0" distL="114300" distR="114300" simplePos="0" relativeHeight="251662336" behindDoc="0" locked="0" layoutInCell="1" allowOverlap="1" wp14:anchorId="37AC404A" wp14:editId="662B269B">
                  <wp:simplePos x="0" y="0"/>
                  <wp:positionH relativeFrom="column">
                    <wp:posOffset>143289</wp:posOffset>
                  </wp:positionH>
                  <wp:positionV relativeFrom="paragraph">
                    <wp:posOffset>152179</wp:posOffset>
                  </wp:positionV>
                  <wp:extent cx="2278493" cy="1709530"/>
                  <wp:effectExtent l="0" t="0" r="762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78493" cy="170953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tcPr>
          <w:p w14:paraId="406D28BA" w14:textId="77777777" w:rsidR="001E242D" w:rsidRPr="001E242D" w:rsidRDefault="001E242D" w:rsidP="00C82F74">
            <w:pPr>
              <w:rPr>
                <w:rFonts w:ascii="Times New Roman" w:hAnsi="Times New Roman" w:cs="Times New Roman"/>
              </w:rPr>
            </w:pPr>
          </w:p>
          <w:p w14:paraId="36C04C33" w14:textId="77777777" w:rsidR="001E242D" w:rsidRPr="001E242D" w:rsidRDefault="001E242D" w:rsidP="00C82F74">
            <w:pPr>
              <w:rPr>
                <w:rFonts w:ascii="Times New Roman" w:hAnsi="Times New Roman" w:cs="Times New Roman"/>
                <w:sz w:val="24"/>
                <w:szCs w:val="24"/>
              </w:rPr>
            </w:pPr>
            <w:r w:rsidRPr="001E242D">
              <w:rPr>
                <w:rFonts w:ascii="Times New Roman" w:hAnsi="Times New Roman" w:cs="Times New Roman"/>
                <w:sz w:val="24"/>
                <w:szCs w:val="24"/>
              </w:rPr>
              <w:t>Sadalošā kaste (šina).</w:t>
            </w:r>
          </w:p>
          <w:p w14:paraId="0A381832" w14:textId="2D03C510" w:rsidR="001E242D" w:rsidRPr="001E242D" w:rsidRDefault="001E242D" w:rsidP="00C82F74">
            <w:pPr>
              <w:rPr>
                <w:rFonts w:ascii="Times New Roman" w:hAnsi="Times New Roman" w:cs="Times New Roman"/>
                <w:sz w:val="24"/>
                <w:szCs w:val="24"/>
              </w:rPr>
            </w:pPr>
            <w:r w:rsidRPr="001E242D">
              <w:rPr>
                <w:rFonts w:ascii="Times New Roman" w:hAnsi="Times New Roman" w:cs="Times New Roman"/>
                <w:sz w:val="24"/>
                <w:szCs w:val="24"/>
              </w:rPr>
              <w:t>Pienākoši vadi no akumulatora strāvas aiziet uz sadalošo kasti.</w:t>
            </w:r>
          </w:p>
          <w:p w14:paraId="2504FD93" w14:textId="77777777" w:rsidR="001E242D" w:rsidRPr="001E242D" w:rsidRDefault="001E242D" w:rsidP="00C82F74">
            <w:pPr>
              <w:rPr>
                <w:rFonts w:ascii="Times New Roman" w:hAnsi="Times New Roman" w:cs="Times New Roman"/>
              </w:rPr>
            </w:pPr>
          </w:p>
        </w:tc>
      </w:tr>
    </w:tbl>
    <w:p w14:paraId="2D696220" w14:textId="77777777" w:rsidR="001E242D" w:rsidRPr="006D5949" w:rsidRDefault="001E242D" w:rsidP="001E242D">
      <w:pPr>
        <w:ind w:right="-483"/>
        <w:jc w:val="both"/>
        <w:rPr>
          <w:rFonts w:ascii="Times New Roman" w:hAnsi="Times New Roman" w:cs="Times New Roman"/>
          <w:sz w:val="24"/>
          <w:szCs w:val="24"/>
        </w:rPr>
      </w:pPr>
    </w:p>
    <w:p w14:paraId="1FADC5F8" w14:textId="77777777" w:rsidR="001E242D" w:rsidRDefault="001E242D" w:rsidP="001E242D">
      <w:pPr>
        <w:ind w:right="-483"/>
        <w:jc w:val="both"/>
        <w:rPr>
          <w:rFonts w:ascii="Times New Roman" w:hAnsi="Times New Roman" w:cs="Times New Roman"/>
          <w:sz w:val="24"/>
          <w:szCs w:val="24"/>
        </w:rPr>
      </w:pPr>
    </w:p>
    <w:p w14:paraId="68907A08" w14:textId="77777777" w:rsidR="001E242D" w:rsidRDefault="001E242D" w:rsidP="001E242D">
      <w:pPr>
        <w:ind w:right="-483"/>
        <w:jc w:val="both"/>
        <w:rPr>
          <w:rFonts w:ascii="Times New Roman" w:hAnsi="Times New Roman" w:cs="Times New Roman"/>
          <w:sz w:val="24"/>
          <w:szCs w:val="24"/>
        </w:rPr>
      </w:pPr>
    </w:p>
    <w:p w14:paraId="09A674ED" w14:textId="77777777" w:rsidR="001E242D" w:rsidRDefault="001E242D" w:rsidP="001E242D">
      <w:pPr>
        <w:ind w:right="-483"/>
        <w:jc w:val="both"/>
        <w:rPr>
          <w:rFonts w:ascii="Times New Roman" w:hAnsi="Times New Roman" w:cs="Times New Roman"/>
          <w:sz w:val="24"/>
          <w:szCs w:val="24"/>
        </w:rPr>
      </w:pPr>
    </w:p>
    <w:p w14:paraId="51E070C7" w14:textId="3A700A48" w:rsidR="001E242D" w:rsidRPr="002F1A8B" w:rsidRDefault="001E242D" w:rsidP="001E242D">
      <w:pPr>
        <w:ind w:right="-483"/>
        <w:jc w:val="both"/>
        <w:rPr>
          <w:rFonts w:ascii="Times New Roman" w:hAnsi="Times New Roman"/>
          <w:i/>
          <w:sz w:val="24"/>
          <w:szCs w:val="24"/>
        </w:rPr>
      </w:pPr>
      <w:r>
        <w:rPr>
          <w:rFonts w:ascii="Times New Roman" w:hAnsi="Times New Roman"/>
          <w:i/>
          <w:sz w:val="24"/>
          <w:szCs w:val="24"/>
        </w:rPr>
        <w:t>Iepirkuma komisijas sniegtās atbildes un skaidrojumi</w:t>
      </w:r>
      <w:r w:rsidRPr="00560EC3">
        <w:rPr>
          <w:rFonts w:ascii="Times New Roman" w:hAnsi="Times New Roman"/>
          <w:i/>
          <w:sz w:val="24"/>
          <w:szCs w:val="24"/>
        </w:rPr>
        <w:t xml:space="preserve"> ir neatņemama </w:t>
      </w:r>
      <w:r w:rsidRPr="001E242D">
        <w:rPr>
          <w:rFonts w:ascii="Times New Roman" w:hAnsi="Times New Roman"/>
          <w:i/>
          <w:sz w:val="24"/>
          <w:szCs w:val="24"/>
        </w:rPr>
        <w:t>sarunu procedūras nolikuma sastāvdaļa</w:t>
      </w:r>
      <w:r>
        <w:rPr>
          <w:rFonts w:ascii="Times New Roman" w:hAnsi="Times New Roman"/>
          <w:i/>
          <w:sz w:val="24"/>
          <w:szCs w:val="24"/>
        </w:rPr>
        <w:t>.</w:t>
      </w:r>
    </w:p>
    <w:p w14:paraId="6D0220BF" w14:textId="77777777" w:rsidR="00966C78" w:rsidRDefault="00966C78"/>
    <w:sectPr w:rsidR="00966C7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2D"/>
    <w:rsid w:val="000F19E9"/>
    <w:rsid w:val="001E242D"/>
    <w:rsid w:val="007A2B99"/>
    <w:rsid w:val="008C1E6C"/>
    <w:rsid w:val="00966C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CD4F4"/>
  <w15:chartTrackingRefBased/>
  <w15:docId w15:val="{C70D57EE-4268-452B-AB8C-EB555BD21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42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24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2431</Words>
  <Characters>1386</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Šidlovska</dc:creator>
  <cp:keywords/>
  <dc:description/>
  <cp:lastModifiedBy>Anete Šidlovska</cp:lastModifiedBy>
  <cp:revision>3</cp:revision>
  <dcterms:created xsi:type="dcterms:W3CDTF">2024-03-26T13:56:00Z</dcterms:created>
  <dcterms:modified xsi:type="dcterms:W3CDTF">2024-03-27T09:14:00Z</dcterms:modified>
</cp:coreProperties>
</file>