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3AE23" w14:textId="77777777" w:rsidR="00947269" w:rsidRPr="00947269" w:rsidRDefault="00947269" w:rsidP="00201944">
      <w:pPr>
        <w:rPr>
          <w:b/>
          <w:i/>
          <w:lang w:eastAsia="lv-LV"/>
        </w:rPr>
      </w:pPr>
    </w:p>
    <w:tbl>
      <w:tblPr>
        <w:tblW w:w="15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6"/>
        <w:gridCol w:w="1701"/>
        <w:gridCol w:w="5528"/>
        <w:gridCol w:w="708"/>
        <w:gridCol w:w="19"/>
        <w:gridCol w:w="5510"/>
        <w:gridCol w:w="1275"/>
        <w:gridCol w:w="19"/>
      </w:tblGrid>
      <w:tr w:rsidR="00B4260C" w:rsidRPr="00FC1E97" w14:paraId="0823728C" w14:textId="77777777" w:rsidTr="398FCBAC">
        <w:trPr>
          <w:gridAfter w:val="1"/>
          <w:wAfter w:w="19" w:type="dxa"/>
          <w:trHeight w:val="420"/>
          <w:tblHeader/>
        </w:trPr>
        <w:tc>
          <w:tcPr>
            <w:tcW w:w="596" w:type="dxa"/>
            <w:vAlign w:val="center"/>
          </w:tcPr>
          <w:p w14:paraId="1EAD00CD" w14:textId="77777777" w:rsidR="00B4260C" w:rsidRPr="00FC1E97" w:rsidRDefault="00B4260C" w:rsidP="00B00735">
            <w:pPr>
              <w:spacing w:line="276" w:lineRule="auto"/>
              <w:jc w:val="center"/>
              <w:rPr>
                <w:b/>
              </w:rPr>
            </w:pPr>
            <w:bookmarkStart w:id="0" w:name="_Hlk55473859"/>
            <w:proofErr w:type="spellStart"/>
            <w:r w:rsidRPr="00FC1E97">
              <w:rPr>
                <w:b/>
              </w:rPr>
              <w:t>N.p.k</w:t>
            </w:r>
            <w:proofErr w:type="spellEnd"/>
            <w:r w:rsidRPr="00FC1E97">
              <w:rPr>
                <w:b/>
              </w:rPr>
              <w:t>.</w:t>
            </w:r>
          </w:p>
        </w:tc>
        <w:tc>
          <w:tcPr>
            <w:tcW w:w="1701" w:type="dxa"/>
            <w:vAlign w:val="center"/>
          </w:tcPr>
          <w:p w14:paraId="6E047C21" w14:textId="77777777" w:rsidR="00B4260C" w:rsidRPr="00FC1E97" w:rsidRDefault="00B4260C" w:rsidP="00B00735">
            <w:pPr>
              <w:spacing w:line="276" w:lineRule="auto"/>
              <w:jc w:val="center"/>
              <w:rPr>
                <w:b/>
              </w:rPr>
            </w:pPr>
            <w:r w:rsidRPr="00FC1E97">
              <w:rPr>
                <w:b/>
              </w:rPr>
              <w:t>Komponente</w:t>
            </w:r>
          </w:p>
        </w:tc>
        <w:tc>
          <w:tcPr>
            <w:tcW w:w="5528" w:type="dxa"/>
            <w:vAlign w:val="center"/>
          </w:tcPr>
          <w:p w14:paraId="3D1AFF04" w14:textId="77777777" w:rsidR="00B4260C" w:rsidRPr="00FC1E97" w:rsidRDefault="00B4260C" w:rsidP="00B00735">
            <w:pPr>
              <w:spacing w:line="276" w:lineRule="auto"/>
              <w:ind w:right="140"/>
              <w:jc w:val="center"/>
              <w:rPr>
                <w:b/>
              </w:rPr>
            </w:pPr>
            <w:r w:rsidRPr="00FC1E97">
              <w:rPr>
                <w:b/>
              </w:rPr>
              <w:t>Minimālās prasības</w:t>
            </w:r>
          </w:p>
        </w:tc>
        <w:tc>
          <w:tcPr>
            <w:tcW w:w="708" w:type="dxa"/>
            <w:vAlign w:val="center"/>
          </w:tcPr>
          <w:p w14:paraId="4FB60E33" w14:textId="77777777" w:rsidR="00B4260C" w:rsidRPr="00FC1E97" w:rsidRDefault="00B4260C" w:rsidP="00B00735">
            <w:pPr>
              <w:spacing w:line="276" w:lineRule="auto"/>
              <w:jc w:val="center"/>
            </w:pPr>
            <w:r w:rsidRPr="00FC1E97">
              <w:rPr>
                <w:b/>
              </w:rPr>
              <w:t>Skaits</w:t>
            </w:r>
          </w:p>
        </w:tc>
        <w:tc>
          <w:tcPr>
            <w:tcW w:w="5529" w:type="dxa"/>
            <w:gridSpan w:val="2"/>
          </w:tcPr>
          <w:p w14:paraId="164B9AE3" w14:textId="77777777" w:rsidR="00B4260C" w:rsidRPr="00FC1E97" w:rsidRDefault="00B4260C" w:rsidP="00B00735">
            <w:pPr>
              <w:spacing w:line="276" w:lineRule="auto"/>
              <w:jc w:val="center"/>
              <w:rPr>
                <w:b/>
              </w:rPr>
            </w:pPr>
            <w:r w:rsidRPr="00FC1E97">
              <w:rPr>
                <w:b/>
              </w:rPr>
              <w:t>Pretendenta piedāvājums</w:t>
            </w:r>
          </w:p>
          <w:p w14:paraId="01C28A00" w14:textId="3AE09A3F" w:rsidR="00B4260C" w:rsidRDefault="00B4260C" w:rsidP="00B00735">
            <w:pPr>
              <w:spacing w:line="276" w:lineRule="auto"/>
              <w:jc w:val="center"/>
            </w:pPr>
            <w:r w:rsidRPr="00FC1E97">
              <w:t>Ražotājs, nosaukums, precīzs funkcionalitātes apraksts</w:t>
            </w:r>
          </w:p>
          <w:p w14:paraId="558A3EE6" w14:textId="7BEC44C7" w:rsidR="00764FF1" w:rsidRDefault="00764FF1" w:rsidP="00B00735">
            <w:pPr>
              <w:spacing w:line="276" w:lineRule="auto"/>
              <w:jc w:val="center"/>
            </w:pPr>
            <w:r>
              <w:rPr>
                <w:b/>
              </w:rPr>
              <w:t>(</w:t>
            </w:r>
            <w:r w:rsidRPr="00FF3ABB">
              <w:rPr>
                <w:b/>
                <w:i/>
              </w:rPr>
              <w:t xml:space="preserve">pretendents norāda interneta saiti vai pievieno tehnisko dokumentāciju </w:t>
            </w:r>
            <w:r>
              <w:rPr>
                <w:b/>
                <w:i/>
              </w:rPr>
              <w:t>par</w:t>
            </w:r>
            <w:bookmarkStart w:id="1" w:name="_GoBack"/>
            <w:bookmarkEnd w:id="1"/>
            <w:r w:rsidRPr="00FF3ABB">
              <w:rPr>
                <w:b/>
                <w:i/>
              </w:rPr>
              <w:t xml:space="preserve"> piedāvāto iekārtu</w:t>
            </w:r>
            <w:r>
              <w:rPr>
                <w:b/>
                <w:i/>
              </w:rPr>
              <w:t>)</w:t>
            </w:r>
          </w:p>
          <w:p w14:paraId="6D81C091" w14:textId="4FA68E0B" w:rsidR="00764FF1" w:rsidRPr="00FC1E97" w:rsidRDefault="00764FF1" w:rsidP="00B00735">
            <w:pPr>
              <w:spacing w:line="276" w:lineRule="auto"/>
              <w:jc w:val="center"/>
              <w:rPr>
                <w:b/>
              </w:rPr>
            </w:pPr>
          </w:p>
        </w:tc>
        <w:tc>
          <w:tcPr>
            <w:tcW w:w="1275" w:type="dxa"/>
          </w:tcPr>
          <w:p w14:paraId="25C56D2B" w14:textId="77777777" w:rsidR="00B4260C" w:rsidRPr="00FC1E97" w:rsidRDefault="00B4260C" w:rsidP="00C141D3">
            <w:pPr>
              <w:spacing w:line="276" w:lineRule="auto"/>
              <w:jc w:val="center"/>
              <w:rPr>
                <w:b/>
              </w:rPr>
            </w:pPr>
            <w:r w:rsidRPr="00FC1E97">
              <w:rPr>
                <w:b/>
              </w:rPr>
              <w:t>Cena par vienību bez PVN</w:t>
            </w:r>
          </w:p>
        </w:tc>
      </w:tr>
      <w:tr w:rsidR="00B4260C" w:rsidRPr="00FC1E97" w14:paraId="09DF3FC9" w14:textId="77777777" w:rsidTr="398FCBAC">
        <w:trPr>
          <w:trHeight w:val="417"/>
        </w:trPr>
        <w:tc>
          <w:tcPr>
            <w:tcW w:w="596" w:type="dxa"/>
            <w:shd w:val="clear" w:color="auto" w:fill="BFBFBF" w:themeFill="background1" w:themeFillShade="BF"/>
          </w:tcPr>
          <w:p w14:paraId="11E883B9" w14:textId="77777777" w:rsidR="00B4260C" w:rsidRPr="00FC1E97" w:rsidRDefault="00B4260C" w:rsidP="00B00735">
            <w:pPr>
              <w:spacing w:line="276" w:lineRule="auto"/>
              <w:ind w:firstLine="47"/>
              <w:jc w:val="left"/>
              <w:rPr>
                <w:b/>
              </w:rPr>
            </w:pPr>
          </w:p>
        </w:tc>
        <w:tc>
          <w:tcPr>
            <w:tcW w:w="7956" w:type="dxa"/>
            <w:gridSpan w:val="4"/>
            <w:shd w:val="clear" w:color="auto" w:fill="BFBFBF" w:themeFill="background1" w:themeFillShade="BF"/>
          </w:tcPr>
          <w:p w14:paraId="2011FD3E" w14:textId="77777777" w:rsidR="00B4260C" w:rsidRPr="00FC1E97" w:rsidRDefault="00B4260C" w:rsidP="00B00735">
            <w:pPr>
              <w:spacing w:line="276" w:lineRule="auto"/>
              <w:ind w:right="140"/>
              <w:jc w:val="left"/>
              <w:rPr>
                <w:b/>
                <w:bCs/>
              </w:rPr>
            </w:pPr>
            <w:r w:rsidRPr="00FC1E97">
              <w:rPr>
                <w:b/>
                <w:bCs/>
              </w:rPr>
              <w:t>Vizuālās komunikācijas sistēmas attēlojošās iekārtas</w:t>
            </w:r>
          </w:p>
        </w:tc>
        <w:tc>
          <w:tcPr>
            <w:tcW w:w="5510" w:type="dxa"/>
            <w:shd w:val="clear" w:color="auto" w:fill="BFBFBF" w:themeFill="background1" w:themeFillShade="BF"/>
          </w:tcPr>
          <w:p w14:paraId="6D2CED5E" w14:textId="77777777" w:rsidR="00B4260C" w:rsidRPr="00FC1E97" w:rsidRDefault="00B4260C" w:rsidP="00B00735">
            <w:pPr>
              <w:spacing w:line="276" w:lineRule="auto"/>
              <w:jc w:val="left"/>
              <w:rPr>
                <w:b/>
              </w:rPr>
            </w:pPr>
          </w:p>
        </w:tc>
        <w:tc>
          <w:tcPr>
            <w:tcW w:w="1294" w:type="dxa"/>
            <w:gridSpan w:val="2"/>
            <w:shd w:val="clear" w:color="auto" w:fill="BFBFBF" w:themeFill="background1" w:themeFillShade="BF"/>
          </w:tcPr>
          <w:p w14:paraId="6F9B11AD" w14:textId="77777777" w:rsidR="00B4260C" w:rsidRPr="00FC1E97" w:rsidRDefault="00B4260C" w:rsidP="00C141D3">
            <w:pPr>
              <w:spacing w:line="276" w:lineRule="auto"/>
              <w:jc w:val="center"/>
              <w:rPr>
                <w:b/>
              </w:rPr>
            </w:pPr>
          </w:p>
        </w:tc>
      </w:tr>
      <w:tr w:rsidR="00171522" w:rsidRPr="00FC1E97" w14:paraId="3102A3EB" w14:textId="77777777" w:rsidTr="398FCBAC">
        <w:trPr>
          <w:gridAfter w:val="1"/>
          <w:wAfter w:w="19" w:type="dxa"/>
          <w:trHeight w:val="417"/>
        </w:trPr>
        <w:tc>
          <w:tcPr>
            <w:tcW w:w="596" w:type="dxa"/>
          </w:tcPr>
          <w:p w14:paraId="356F6F83" w14:textId="5C1266E7" w:rsidR="00171522" w:rsidRPr="00FC1E97" w:rsidRDefault="00171522" w:rsidP="00171522">
            <w:pPr>
              <w:tabs>
                <w:tab w:val="left" w:pos="357"/>
              </w:tabs>
              <w:spacing w:line="276" w:lineRule="auto"/>
              <w:ind w:firstLine="47"/>
            </w:pPr>
            <w:bookmarkStart w:id="2" w:name="_Hlk133503659"/>
            <w:bookmarkEnd w:id="0"/>
            <w:r>
              <w:t>1.</w:t>
            </w:r>
          </w:p>
        </w:tc>
        <w:tc>
          <w:tcPr>
            <w:tcW w:w="1701" w:type="dxa"/>
          </w:tcPr>
          <w:p w14:paraId="0F15B6AE" w14:textId="7686DB8D" w:rsidR="00171522" w:rsidRPr="00FC1E97" w:rsidRDefault="00171522" w:rsidP="00171522">
            <w:pPr>
              <w:tabs>
                <w:tab w:val="left" w:pos="357"/>
              </w:tabs>
              <w:spacing w:line="276" w:lineRule="auto"/>
            </w:pPr>
            <w:r w:rsidRPr="00FC1E97">
              <w:t>Vizuālās komunikācijas LED siena ar izšķirtspēju 2.</w:t>
            </w:r>
            <w:r w:rsidR="00063242">
              <w:t>0</w:t>
            </w:r>
            <w:r w:rsidRPr="00FC1E97">
              <w:t xml:space="preserve">mm </w:t>
            </w:r>
            <w:proofErr w:type="spellStart"/>
            <w:r w:rsidRPr="00FC1E97">
              <w:t>PixelPitch</w:t>
            </w:r>
            <w:proofErr w:type="spellEnd"/>
          </w:p>
        </w:tc>
        <w:tc>
          <w:tcPr>
            <w:tcW w:w="5528" w:type="dxa"/>
          </w:tcPr>
          <w:p w14:paraId="65190885" w14:textId="77777777" w:rsidR="00171522" w:rsidRPr="00FC1E97" w:rsidRDefault="00171522" w:rsidP="00171522">
            <w:pPr>
              <w:numPr>
                <w:ilvl w:val="0"/>
                <w:numId w:val="2"/>
              </w:numPr>
              <w:ind w:right="140"/>
            </w:pPr>
            <w:r w:rsidRPr="00FC1E97">
              <w:t>LED kabinetu ražotājs piedāvāto modeli ir paredzējis iekštelpu lietošanai stacionārās instalācijā;</w:t>
            </w:r>
          </w:p>
          <w:p w14:paraId="0C68BD1F" w14:textId="77777777" w:rsidR="00171522" w:rsidRPr="00FC1E97" w:rsidRDefault="00171522" w:rsidP="00171522">
            <w:pPr>
              <w:numPr>
                <w:ilvl w:val="0"/>
                <w:numId w:val="2"/>
              </w:numPr>
              <w:ind w:right="140"/>
            </w:pPr>
            <w:r w:rsidRPr="00FC1E97">
              <w:t>Piedāvāto LED kabinetu izmēri nodrošina iespēju izveidot vienotu LED sienu, vienā plaknē, ar kopējiem izmēriem 3840mm pa horizontāli un 2160mm pa vertikāli. Pieļaujamā izmēru pielaide ir +/- 10% pa horizontāli un +/- 10% pa vertikāli. Piegādes apjomā jāiekļauj atbilstošs kabinetu skaits;</w:t>
            </w:r>
          </w:p>
          <w:p w14:paraId="292C09D5" w14:textId="46AE7D2E" w:rsidR="00171522" w:rsidRPr="00FC1E97" w:rsidRDefault="00171522" w:rsidP="00171522">
            <w:pPr>
              <w:numPr>
                <w:ilvl w:val="0"/>
                <w:numId w:val="2"/>
              </w:numPr>
              <w:ind w:right="140"/>
            </w:pPr>
            <w:r w:rsidRPr="00FC1E97">
              <w:t xml:space="preserve">Izšķirtspējas izmērs </w:t>
            </w:r>
            <w:proofErr w:type="spellStart"/>
            <w:r w:rsidRPr="00FC1E97">
              <w:t>PixelPitch</w:t>
            </w:r>
            <w:proofErr w:type="spellEnd"/>
            <w:r w:rsidRPr="00FC1E97">
              <w:t xml:space="preserve"> (attālums starp divu blakus novietotu LED diožu punktu centriem) ne lielāks kā 2.</w:t>
            </w:r>
            <w:r w:rsidR="005472A0">
              <w:t>0</w:t>
            </w:r>
            <w:r w:rsidRPr="00FC1E97">
              <w:t xml:space="preserve"> mm;</w:t>
            </w:r>
          </w:p>
          <w:p w14:paraId="1981F35E" w14:textId="77777777" w:rsidR="00171522" w:rsidRPr="00FC1E97" w:rsidRDefault="00171522" w:rsidP="00171522">
            <w:pPr>
              <w:numPr>
                <w:ilvl w:val="0"/>
                <w:numId w:val="2"/>
              </w:numPr>
              <w:ind w:right="140"/>
            </w:pPr>
            <w:r w:rsidRPr="00FC1E97">
              <w:t xml:space="preserve">LED diožu skaits un kopējā izšķirtspēja visai sienai ir precīzi </w:t>
            </w:r>
            <w:proofErr w:type="spellStart"/>
            <w:r w:rsidRPr="00FC1E97">
              <w:t>FullHD</w:t>
            </w:r>
            <w:proofErr w:type="spellEnd"/>
            <w:r w:rsidRPr="00FC1E97">
              <w:t xml:space="preserve"> (1920x1080 </w:t>
            </w:r>
            <w:proofErr w:type="spellStart"/>
            <w:r w:rsidRPr="00FC1E97">
              <w:t>pixels</w:t>
            </w:r>
            <w:proofErr w:type="spellEnd"/>
            <w:r w:rsidRPr="00FC1E97">
              <w:t>);</w:t>
            </w:r>
          </w:p>
          <w:p w14:paraId="29621F76" w14:textId="77777777" w:rsidR="00171522" w:rsidRPr="00FC1E97" w:rsidRDefault="00171522" w:rsidP="00171522">
            <w:pPr>
              <w:numPr>
                <w:ilvl w:val="0"/>
                <w:numId w:val="2"/>
              </w:numPr>
              <w:ind w:right="140"/>
            </w:pPr>
            <w:r w:rsidRPr="00FC1E97">
              <w:t>Ražotāja norādītais maksimālais spilgtums ietilpst robežās no 450nit līdz 550nit. Iespēja īslaicīgi attēlot atsevišķas daļas paaugstinātā spilgtumā (</w:t>
            </w:r>
            <w:proofErr w:type="spellStart"/>
            <w:r w:rsidRPr="00FC1E97">
              <w:rPr>
                <w:i/>
                <w:iCs/>
              </w:rPr>
              <w:t>peak</w:t>
            </w:r>
            <w:proofErr w:type="spellEnd"/>
            <w:r w:rsidRPr="00FC1E97">
              <w:rPr>
                <w:i/>
                <w:iCs/>
              </w:rPr>
              <w:t xml:space="preserve"> </w:t>
            </w:r>
            <w:proofErr w:type="spellStart"/>
            <w:r w:rsidRPr="00FC1E97">
              <w:rPr>
                <w:i/>
                <w:iCs/>
              </w:rPr>
              <w:t>brightness</w:t>
            </w:r>
            <w:proofErr w:type="spellEnd"/>
            <w:r w:rsidRPr="00FC1E97">
              <w:t>) ne mazāk kā 1000nit;</w:t>
            </w:r>
          </w:p>
          <w:p w14:paraId="345DC231" w14:textId="77777777" w:rsidR="00171522" w:rsidRPr="00FC1E97" w:rsidRDefault="00171522" w:rsidP="00171522">
            <w:pPr>
              <w:numPr>
                <w:ilvl w:val="0"/>
                <w:numId w:val="2"/>
              </w:numPr>
              <w:ind w:right="140"/>
            </w:pPr>
            <w:r w:rsidRPr="00FC1E97">
              <w:t>Krāsu temperatūras regulēšanas iespējas vismaz robežās no 2800K līdz 10000K;</w:t>
            </w:r>
          </w:p>
          <w:p w14:paraId="0BEFA0DB" w14:textId="77777777" w:rsidR="00171522" w:rsidRPr="00FC1E97" w:rsidRDefault="00171522" w:rsidP="00171522">
            <w:pPr>
              <w:numPr>
                <w:ilvl w:val="0"/>
                <w:numId w:val="2"/>
              </w:numPr>
              <w:ind w:right="140"/>
            </w:pPr>
            <w:r w:rsidRPr="00FC1E97">
              <w:t>Skata leņķis ne mazāks kā 150 grādi pa horizontāli un 150 grādi pa vertikāli;</w:t>
            </w:r>
          </w:p>
          <w:p w14:paraId="02FA96E0" w14:textId="77777777" w:rsidR="00171522" w:rsidRPr="00FC1E97" w:rsidRDefault="00171522" w:rsidP="00171522">
            <w:pPr>
              <w:numPr>
                <w:ilvl w:val="0"/>
                <w:numId w:val="2"/>
              </w:numPr>
              <w:ind w:right="140"/>
            </w:pPr>
            <w:r w:rsidRPr="00FC1E97">
              <w:t>Kontrasts ne mazāks kā 4000 : 1;</w:t>
            </w:r>
          </w:p>
          <w:p w14:paraId="627AD462" w14:textId="77777777" w:rsidR="00171522" w:rsidRPr="00FC1E97" w:rsidRDefault="00171522" w:rsidP="00171522">
            <w:pPr>
              <w:numPr>
                <w:ilvl w:val="0"/>
                <w:numId w:val="2"/>
              </w:numPr>
              <w:ind w:right="140"/>
            </w:pPr>
            <w:r w:rsidRPr="00FC1E97">
              <w:t>Kabinetu apkalpošanas iespēja no priekšas (</w:t>
            </w:r>
            <w:proofErr w:type="spellStart"/>
            <w:r w:rsidRPr="00FC1E97">
              <w:rPr>
                <w:i/>
                <w:iCs/>
              </w:rPr>
              <w:t>front</w:t>
            </w:r>
            <w:proofErr w:type="spellEnd"/>
            <w:r w:rsidRPr="00FC1E97">
              <w:rPr>
                <w:i/>
                <w:iCs/>
              </w:rPr>
              <w:t xml:space="preserve"> </w:t>
            </w:r>
            <w:proofErr w:type="spellStart"/>
            <w:r w:rsidRPr="00FC1E97">
              <w:rPr>
                <w:i/>
                <w:iCs/>
              </w:rPr>
              <w:t>service</w:t>
            </w:r>
            <w:proofErr w:type="spellEnd"/>
            <w:r w:rsidRPr="00FC1E97">
              <w:t>);</w:t>
            </w:r>
          </w:p>
          <w:p w14:paraId="1D32989C" w14:textId="77777777" w:rsidR="00171522" w:rsidRPr="00FC1E97" w:rsidRDefault="00171522" w:rsidP="00171522">
            <w:pPr>
              <w:numPr>
                <w:ilvl w:val="0"/>
                <w:numId w:val="2"/>
              </w:numPr>
              <w:ind w:right="140"/>
            </w:pPr>
            <w:r w:rsidRPr="00FC1E97">
              <w:t>LED diožu darba mūžs ne mazāks kā 100000 stundas;</w:t>
            </w:r>
          </w:p>
          <w:p w14:paraId="39155D75" w14:textId="77777777" w:rsidR="00171522" w:rsidRPr="00FC1E97" w:rsidRDefault="00171522" w:rsidP="00171522">
            <w:pPr>
              <w:numPr>
                <w:ilvl w:val="0"/>
                <w:numId w:val="2"/>
              </w:numPr>
              <w:ind w:right="140"/>
            </w:pPr>
            <w:r w:rsidRPr="00FC1E97">
              <w:lastRenderedPageBreak/>
              <w:t>Tipiskais elektroenerģijas patēriņš nepārsniedz 250W uz vienu LED sienas kvadrātmetru;</w:t>
            </w:r>
          </w:p>
          <w:p w14:paraId="03AF219B" w14:textId="77777777" w:rsidR="00171522" w:rsidRPr="00FC1E97" w:rsidRDefault="00171522" w:rsidP="00171522">
            <w:pPr>
              <w:numPr>
                <w:ilvl w:val="0"/>
                <w:numId w:val="2"/>
              </w:numPr>
              <w:ind w:right="140"/>
            </w:pPr>
            <w:r w:rsidRPr="00FC1E97">
              <w:t>Svars ne lielāks kā 25 kg uz vienu LED sienas kvadrātmetru (nerēķinot stiprinājuma konstrukcijas);</w:t>
            </w:r>
          </w:p>
          <w:p w14:paraId="70A8F173" w14:textId="77777777" w:rsidR="00171522" w:rsidRPr="00FC1E97" w:rsidRDefault="00171522" w:rsidP="00171522">
            <w:pPr>
              <w:numPr>
                <w:ilvl w:val="0"/>
                <w:numId w:val="2"/>
              </w:numPr>
              <w:ind w:right="140"/>
            </w:pPr>
            <w:r w:rsidRPr="00FC1E97">
              <w:t>Standarta piegādes komplektācijā tiek nodrošināts LED sienas kabinetu video signāla ķēdes slēgums abos virzienos (</w:t>
            </w:r>
            <w:proofErr w:type="spellStart"/>
            <w:r w:rsidRPr="00FC1E97">
              <w:t>forward</w:t>
            </w:r>
            <w:proofErr w:type="spellEnd"/>
            <w:r w:rsidRPr="00FC1E97">
              <w:t xml:space="preserve"> </w:t>
            </w:r>
            <w:proofErr w:type="spellStart"/>
            <w:r w:rsidRPr="00FC1E97">
              <w:t>signal</w:t>
            </w:r>
            <w:proofErr w:type="spellEnd"/>
            <w:r w:rsidRPr="00FC1E97">
              <w:t xml:space="preserve"> </w:t>
            </w:r>
            <w:proofErr w:type="spellStart"/>
            <w:r w:rsidRPr="00FC1E97">
              <w:t>flow</w:t>
            </w:r>
            <w:proofErr w:type="spellEnd"/>
            <w:r w:rsidRPr="00FC1E97">
              <w:t xml:space="preserve"> un </w:t>
            </w:r>
            <w:proofErr w:type="spellStart"/>
            <w:r w:rsidRPr="00FC1E97">
              <w:t>reverse</w:t>
            </w:r>
            <w:proofErr w:type="spellEnd"/>
            <w:r w:rsidRPr="00FC1E97">
              <w:t xml:space="preserve"> </w:t>
            </w:r>
            <w:proofErr w:type="spellStart"/>
            <w:r w:rsidRPr="00FC1E97">
              <w:t>signal</w:t>
            </w:r>
            <w:proofErr w:type="spellEnd"/>
            <w:r w:rsidRPr="00FC1E97">
              <w:t xml:space="preserve"> </w:t>
            </w:r>
            <w:proofErr w:type="spellStart"/>
            <w:r w:rsidRPr="00FC1E97">
              <w:t>flow</w:t>
            </w:r>
            <w:proofErr w:type="spellEnd"/>
            <w:r w:rsidRPr="00FC1E97">
              <w:t>). T.i. gadījumā, ja viens no LED kabinetiem signāla ķēdes vidū ir bojāts vai pat fiziski atslēgts, tad bez papildus manuālām darbībām joprojām tiek nodrošināts video attēls visiem pārējiem LED kabinetiem dotajā sienā;</w:t>
            </w:r>
          </w:p>
          <w:p w14:paraId="1C43C72F" w14:textId="77777777" w:rsidR="00171522" w:rsidRPr="00FC1E97" w:rsidRDefault="00171522" w:rsidP="00171522">
            <w:pPr>
              <w:numPr>
                <w:ilvl w:val="0"/>
                <w:numId w:val="2"/>
              </w:numPr>
              <w:ind w:right="140"/>
            </w:pPr>
            <w:r w:rsidRPr="00FC1E97">
              <w:t xml:space="preserve">Atbilstības sertifikācija LED kabinetiem: vismaz EMC </w:t>
            </w:r>
            <w:proofErr w:type="spellStart"/>
            <w:r w:rsidRPr="00FC1E97">
              <w:t>Class</w:t>
            </w:r>
            <w:proofErr w:type="spellEnd"/>
            <w:r w:rsidRPr="00FC1E97">
              <w:t xml:space="preserve"> A , </w:t>
            </w:r>
            <w:proofErr w:type="spellStart"/>
            <w:r w:rsidRPr="00FC1E97">
              <w:t>Safety</w:t>
            </w:r>
            <w:proofErr w:type="spellEnd"/>
            <w:r w:rsidRPr="00FC1E97">
              <w:t xml:space="preserve"> 60950-1 , CE, </w:t>
            </w:r>
            <w:proofErr w:type="spellStart"/>
            <w:r w:rsidRPr="00FC1E97">
              <w:t>RoHS</w:t>
            </w:r>
            <w:proofErr w:type="spellEnd"/>
            <w:r w:rsidRPr="00FC1E97">
              <w:t>.</w:t>
            </w:r>
          </w:p>
          <w:p w14:paraId="6F3D1A08" w14:textId="77777777" w:rsidR="00171522" w:rsidRPr="00FC1E97" w:rsidRDefault="00171522" w:rsidP="00171522">
            <w:pPr>
              <w:numPr>
                <w:ilvl w:val="0"/>
                <w:numId w:val="2"/>
              </w:numPr>
              <w:ind w:right="140"/>
            </w:pPr>
            <w:r w:rsidRPr="00FC1E97">
              <w:t>Pretendentam piedāvājumā jāiekļauj LED sienas stiprinājuma sliedes (vai cita konstrukcija), paredzēta montāžai uz Pasūtītāja nodrošinātas plakanas virsmas, kur LED sienas priekšējā plakne nav atvirzīta tālāk kā 10cm no montāžas virsmas.</w:t>
            </w:r>
          </w:p>
          <w:p w14:paraId="161C9B72" w14:textId="77777777" w:rsidR="00171522" w:rsidRPr="00FC1E97" w:rsidRDefault="00171522" w:rsidP="00171522">
            <w:pPr>
              <w:numPr>
                <w:ilvl w:val="0"/>
                <w:numId w:val="2"/>
              </w:numPr>
              <w:ind w:right="140"/>
            </w:pPr>
            <w:r w:rsidRPr="00FC1E97">
              <w:t>Ar LED kabinetu slēgumu integrēts procesors, kas nodrošina video un servisa signālu apstrādi un komunikāciju ar LED kabinetiem un vadības programmatūru;</w:t>
            </w:r>
          </w:p>
          <w:p w14:paraId="628425AD" w14:textId="0C72028F" w:rsidR="00171522" w:rsidRPr="00FC1E97" w:rsidRDefault="00171522" w:rsidP="00171522">
            <w:pPr>
              <w:numPr>
                <w:ilvl w:val="0"/>
                <w:numId w:val="2"/>
              </w:numPr>
              <w:ind w:right="140"/>
            </w:pPr>
            <w:r w:rsidRPr="00FC1E97">
              <w:t>Procesors montējams 19” statnē un komunikācijai ar LED kabinetiem izmanto vītā pāra</w:t>
            </w:r>
            <w:r w:rsidR="009761F7">
              <w:t xml:space="preserve"> vai optikas</w:t>
            </w:r>
            <w:r w:rsidRPr="00FC1E97">
              <w:t xml:space="preserve"> kabeļa tehnoloģiju (kabeļu trasējuma distance ne mazāka kā 70 metri);</w:t>
            </w:r>
          </w:p>
          <w:p w14:paraId="02A63FB5" w14:textId="77777777" w:rsidR="00171522" w:rsidRPr="00FC1E97" w:rsidRDefault="00171522" w:rsidP="00171522">
            <w:pPr>
              <w:numPr>
                <w:ilvl w:val="0"/>
                <w:numId w:val="2"/>
              </w:numPr>
              <w:ind w:right="140"/>
            </w:pPr>
            <w:r w:rsidRPr="00FC1E97">
              <w:t xml:space="preserve">Procesors komunikācijai ar konfigurācijas/uzturēšanas datoru izmanto standarta </w:t>
            </w:r>
            <w:proofErr w:type="spellStart"/>
            <w:r w:rsidRPr="00FC1E97">
              <w:t>Ethernet</w:t>
            </w:r>
            <w:proofErr w:type="spellEnd"/>
            <w:r w:rsidRPr="00FC1E97">
              <w:t xml:space="preserve"> LAN </w:t>
            </w:r>
            <w:proofErr w:type="spellStart"/>
            <w:r w:rsidRPr="00FC1E97">
              <w:t>pieslēgumu</w:t>
            </w:r>
            <w:proofErr w:type="spellEnd"/>
            <w:r w:rsidRPr="00FC1E97">
              <w:t>;</w:t>
            </w:r>
          </w:p>
          <w:p w14:paraId="3EE6BEC6" w14:textId="77777777" w:rsidR="00171522" w:rsidRPr="00FC1E97" w:rsidRDefault="00171522" w:rsidP="00171522">
            <w:pPr>
              <w:numPr>
                <w:ilvl w:val="0"/>
                <w:numId w:val="2"/>
              </w:numPr>
              <w:ind w:right="140"/>
            </w:pPr>
            <w:r w:rsidRPr="00FC1E97">
              <w:lastRenderedPageBreak/>
              <w:t>Procesorā iekļautās būtiskās funkcionalitātes: LED sienas kabinetu izvietojuma konfigurācija, Video ieejas signāla apstrāde un konvertācija uz vītā pāra kabeļa signālu izmantošanai LED sienas kabinetiem, LED sienas kabinetu krāsu temperatūras, spilgtuma u.c. parametru iestatīšana, LED sienas kabinetu pārvaldība;</w:t>
            </w:r>
          </w:p>
          <w:p w14:paraId="3531785E" w14:textId="77777777" w:rsidR="00171522" w:rsidRDefault="00171522" w:rsidP="00171522">
            <w:pPr>
              <w:numPr>
                <w:ilvl w:val="0"/>
                <w:numId w:val="2"/>
              </w:numPr>
              <w:ind w:right="140"/>
            </w:pPr>
            <w:r>
              <w:t>I</w:t>
            </w:r>
            <w:r w:rsidRPr="00FC1E97">
              <w:t>ebūvēts satura atskaņotājs ar iespēju saturu augšupielādēt pa datortīklu, satura atskaņotājs atbalsta visas punktā “Satura un pārvaldības funkcionalitātes licence iekārtai” noteiktās minimālās funkcionalitātes.;</w:t>
            </w:r>
          </w:p>
          <w:p w14:paraId="45E36EBD" w14:textId="2F40B0C7" w:rsidR="00171522" w:rsidRPr="00453DC5" w:rsidRDefault="00171522" w:rsidP="00171522">
            <w:pPr>
              <w:numPr>
                <w:ilvl w:val="0"/>
                <w:numId w:val="2"/>
              </w:numPr>
              <w:ind w:right="140"/>
            </w:pPr>
            <w:r w:rsidRPr="00453DC5">
              <w:t xml:space="preserve">Iekārtas cenā jāiekļauj </w:t>
            </w:r>
            <w:r w:rsidRPr="00FC1E97">
              <w:t>Satura un pārvaldības funkcionalitātes licence iekārtai</w:t>
            </w:r>
            <w:r w:rsidRPr="00453DC5">
              <w:t xml:space="preserve"> un tās uzt</w:t>
            </w:r>
            <w:r w:rsidR="004C655E">
              <w:t>u</w:t>
            </w:r>
            <w:r w:rsidRPr="00453DC5">
              <w:t>rēšanas iekārtas garantijas periodam.</w:t>
            </w:r>
          </w:p>
          <w:p w14:paraId="411C122A" w14:textId="24343941" w:rsidR="00171522" w:rsidRPr="00FC1E97" w:rsidRDefault="00171522" w:rsidP="00171522">
            <w:pPr>
              <w:numPr>
                <w:ilvl w:val="0"/>
                <w:numId w:val="2"/>
              </w:numPr>
              <w:ind w:right="140"/>
            </w:pPr>
            <w:r w:rsidRPr="00453DC5">
              <w:t>Iebūvētie</w:t>
            </w:r>
            <w:r w:rsidRPr="00FC1E97">
              <w:t xml:space="preserve"> </w:t>
            </w:r>
            <w:proofErr w:type="spellStart"/>
            <w:r w:rsidRPr="00FC1E97">
              <w:t>pieslēgumi</w:t>
            </w:r>
            <w:proofErr w:type="spellEnd"/>
            <w:r w:rsidRPr="00FC1E97">
              <w:t>: Vītā pāra kabeļa</w:t>
            </w:r>
            <w:r w:rsidR="004C655E">
              <w:t xml:space="preserve"> vai optikas</w:t>
            </w:r>
            <w:r w:rsidRPr="00FC1E97">
              <w:t xml:space="preserve"> porti LED sienas kabinetu pieslēgšanai; ne mazāk kā divas digitālā video ieejas (HDMI vai </w:t>
            </w:r>
            <w:proofErr w:type="spellStart"/>
            <w:r w:rsidRPr="00FC1E97">
              <w:t>DisplayPort</w:t>
            </w:r>
            <w:proofErr w:type="spellEnd"/>
            <w:r w:rsidRPr="00FC1E97">
              <w:t xml:space="preserve">) ar vismaz </w:t>
            </w:r>
            <w:proofErr w:type="spellStart"/>
            <w:r w:rsidRPr="00FC1E97">
              <w:t>UltraHD</w:t>
            </w:r>
            <w:proofErr w:type="spellEnd"/>
            <w:r w:rsidRPr="00FC1E97">
              <w:t xml:space="preserve"> (3840x2160 punkti , 60Hz) izšķirtspējas atbalstu; Digitālā video izeja lokālā monitora pieslēgšanai (izmantojams sākotnējai iekārtas </w:t>
            </w:r>
            <w:proofErr w:type="spellStart"/>
            <w:r w:rsidRPr="00FC1E97">
              <w:t>prekonfigurācijai</w:t>
            </w:r>
            <w:proofErr w:type="spellEnd"/>
            <w:r w:rsidRPr="00FC1E97">
              <w:t xml:space="preserve"> un/vai signāla priekšskatījumam); </w:t>
            </w:r>
            <w:proofErr w:type="spellStart"/>
            <w:r w:rsidRPr="00FC1E97">
              <w:t>Infrared</w:t>
            </w:r>
            <w:proofErr w:type="spellEnd"/>
            <w:r w:rsidRPr="00FC1E97">
              <w:t xml:space="preserve"> pults uztvērēja </w:t>
            </w:r>
            <w:proofErr w:type="spellStart"/>
            <w:r w:rsidRPr="00FC1E97">
              <w:t>pieslēgums</w:t>
            </w:r>
            <w:proofErr w:type="spellEnd"/>
            <w:r w:rsidRPr="00FC1E97">
              <w:t xml:space="preserve"> (tai skaitā iespēja uztvērēju pieslēgt arī LED kabinetu instalācijas vietā, signāla komunikācijai izmantojot tos pašus video vītā pāra kabeļus); </w:t>
            </w:r>
            <w:proofErr w:type="spellStart"/>
            <w:r w:rsidRPr="00FC1E97">
              <w:t>Ethernet</w:t>
            </w:r>
            <w:proofErr w:type="spellEnd"/>
            <w:r w:rsidRPr="00FC1E97">
              <w:t xml:space="preserve"> LAN;</w:t>
            </w:r>
          </w:p>
          <w:p w14:paraId="6CF1B65D" w14:textId="77777777" w:rsidR="00171522" w:rsidRPr="00FC1E97" w:rsidRDefault="00171522" w:rsidP="00171522">
            <w:pPr>
              <w:numPr>
                <w:ilvl w:val="0"/>
                <w:numId w:val="2"/>
              </w:numPr>
              <w:ind w:right="140"/>
            </w:pPr>
            <w:r w:rsidRPr="00FC1E97">
              <w:t xml:space="preserve">Attēla regulēšanas funkcionalitāte: Spilgtuma regulēšana; Krāsas temperatūras regulēšana; Kalibrēšana un gamma līknes iestatīšana; LED </w:t>
            </w:r>
            <w:r w:rsidRPr="00FC1E97">
              <w:lastRenderedPageBreak/>
              <w:t xml:space="preserve">kabinetu malu spilgtuma </w:t>
            </w:r>
            <w:proofErr w:type="spellStart"/>
            <w:r w:rsidRPr="00FC1E97">
              <w:t>papildregulēšana</w:t>
            </w:r>
            <w:proofErr w:type="spellEnd"/>
            <w:r w:rsidRPr="00FC1E97">
              <w:t xml:space="preserve"> (</w:t>
            </w:r>
            <w:proofErr w:type="spellStart"/>
            <w:r w:rsidRPr="00FC1E97">
              <w:t>Edge</w:t>
            </w:r>
            <w:proofErr w:type="spellEnd"/>
            <w:r w:rsidRPr="00FC1E97">
              <w:t xml:space="preserve"> </w:t>
            </w:r>
            <w:proofErr w:type="spellStart"/>
            <w:r w:rsidRPr="00FC1E97">
              <w:t>Correction</w:t>
            </w:r>
            <w:proofErr w:type="spellEnd"/>
            <w:r w:rsidRPr="00FC1E97">
              <w:t>);</w:t>
            </w:r>
          </w:p>
          <w:p w14:paraId="0FEDF736" w14:textId="77777777" w:rsidR="00171522" w:rsidRPr="00FC1E97" w:rsidRDefault="00171522" w:rsidP="00171522">
            <w:pPr>
              <w:numPr>
                <w:ilvl w:val="0"/>
                <w:numId w:val="2"/>
              </w:numPr>
              <w:ind w:right="140"/>
            </w:pPr>
            <w:r w:rsidRPr="00FC1E97">
              <w:t>Procesors atbalsta augstu dinamisko diapazonu (</w:t>
            </w:r>
            <w:proofErr w:type="spellStart"/>
            <w:r w:rsidRPr="00FC1E97">
              <w:t>High</w:t>
            </w:r>
            <w:proofErr w:type="spellEnd"/>
            <w:r w:rsidRPr="00FC1E97">
              <w:t xml:space="preserve"> </w:t>
            </w:r>
            <w:proofErr w:type="spellStart"/>
            <w:r w:rsidRPr="00FC1E97">
              <w:t>Dynamic</w:t>
            </w:r>
            <w:proofErr w:type="spellEnd"/>
            <w:r w:rsidRPr="00FC1E97">
              <w:t xml:space="preserve"> </w:t>
            </w:r>
            <w:proofErr w:type="spellStart"/>
            <w:r w:rsidRPr="00FC1E97">
              <w:t>Range</w:t>
            </w:r>
            <w:proofErr w:type="spellEnd"/>
            <w:r w:rsidRPr="00FC1E97">
              <w:t>), HDR un HDR10+;</w:t>
            </w:r>
          </w:p>
          <w:p w14:paraId="37319BF9" w14:textId="77777777" w:rsidR="00171522" w:rsidRPr="00FC1E97" w:rsidRDefault="00171522" w:rsidP="00171522">
            <w:pPr>
              <w:numPr>
                <w:ilvl w:val="0"/>
                <w:numId w:val="2"/>
              </w:numPr>
              <w:ind w:right="140"/>
            </w:pPr>
            <w:r w:rsidRPr="00FC1E97">
              <w:t>Pilnīgas savietojamības nodrošināšanai, t.sk. ilgtermiņā uzturot kopējo sistēmu ar iebūvētās programmatūras jauninājumiem un jaunām funkcionalitātēm, piedāvājumā iekļautais LED sienas vadības procesora ražotājs un piedāvājumā iekļauto LED kabinetu ražotājs ir viens un tas pats.</w:t>
            </w:r>
          </w:p>
          <w:p w14:paraId="053972A2" w14:textId="77777777" w:rsidR="00171522" w:rsidRPr="00FC1E97" w:rsidRDefault="00171522" w:rsidP="00171522">
            <w:pPr>
              <w:numPr>
                <w:ilvl w:val="0"/>
                <w:numId w:val="2"/>
              </w:numPr>
              <w:ind w:right="140"/>
            </w:pPr>
            <w:r w:rsidRPr="00FC1E97">
              <w:t>Ilgtermiņa savietojamības un uzturēšanas atbalsta nodrošinājums: LED sienas ražotājs ir tas pats, kas “Vizuālās komunikācijas sistēmas programmatūrai”</w:t>
            </w:r>
          </w:p>
          <w:p w14:paraId="07EF55CC" w14:textId="77777777" w:rsidR="00171522" w:rsidRPr="00FC1E97" w:rsidRDefault="00171522" w:rsidP="00171522">
            <w:pPr>
              <w:numPr>
                <w:ilvl w:val="0"/>
                <w:numId w:val="2"/>
              </w:numPr>
              <w:ind w:right="140"/>
            </w:pPr>
            <w:r w:rsidRPr="00FC1E97">
              <w:t>Jāiekļauj vismaz viens tās pašas ražošanas partijas rezerves LED kabinets, analogs modelis kā piegādes apjomā, tas tiek izmantots iespējamo bojājumu novēršanai (t.sk. garantijas);</w:t>
            </w:r>
          </w:p>
          <w:p w14:paraId="03BB1548" w14:textId="77777777" w:rsidR="00171522" w:rsidRDefault="00171522" w:rsidP="00171522">
            <w:pPr>
              <w:numPr>
                <w:ilvl w:val="0"/>
                <w:numId w:val="2"/>
              </w:numPr>
              <w:ind w:right="140"/>
            </w:pPr>
            <w:r w:rsidRPr="00FC1E97">
              <w:t>Kopā ar tehnisko piedāvājumu Pretendents iesniedz piedāvāto LED kabinetu ražotāja apliecinājuma vēstuli (adresētu Pasūtītājam un iekļaujot iepirkuma identifikācijas numuru) par faktu, ka gadījumā, ja ar Pretendentu tiks slēgts piegādes līgums, tad tā ietvaros visam iepirkuma apjomam tiks piegādāti vienas ražošanas partijas kabineti un to LED moduļi būs ar diodēm no vienas atlasītas partijas (</w:t>
            </w:r>
            <w:proofErr w:type="spellStart"/>
            <w:r w:rsidRPr="00FC1E97">
              <w:rPr>
                <w:i/>
                <w:iCs/>
              </w:rPr>
              <w:t>single</w:t>
            </w:r>
            <w:proofErr w:type="spellEnd"/>
            <w:r w:rsidRPr="00FC1E97">
              <w:rPr>
                <w:i/>
                <w:iCs/>
              </w:rPr>
              <w:t xml:space="preserve"> </w:t>
            </w:r>
            <w:proofErr w:type="spellStart"/>
            <w:r w:rsidRPr="00FC1E97">
              <w:rPr>
                <w:i/>
                <w:iCs/>
              </w:rPr>
              <w:t>bin</w:t>
            </w:r>
            <w:proofErr w:type="spellEnd"/>
            <w:r w:rsidRPr="00FC1E97">
              <w:t>).</w:t>
            </w:r>
          </w:p>
          <w:p w14:paraId="2502F0CE" w14:textId="3B2C180A" w:rsidR="00171522" w:rsidRPr="00723845" w:rsidRDefault="00171522" w:rsidP="00171522">
            <w:pPr>
              <w:numPr>
                <w:ilvl w:val="0"/>
                <w:numId w:val="2"/>
              </w:numPr>
              <w:ind w:right="140"/>
            </w:pPr>
            <w:r>
              <w:t>Garantija 5 gadi, iekļaujot nepieciešamo licenču uzturēšanu</w:t>
            </w:r>
          </w:p>
        </w:tc>
        <w:tc>
          <w:tcPr>
            <w:tcW w:w="708" w:type="dxa"/>
          </w:tcPr>
          <w:p w14:paraId="7CDCDFDE" w14:textId="77777777" w:rsidR="00171522" w:rsidRPr="00FC1E97" w:rsidRDefault="00171522" w:rsidP="00171522">
            <w:pPr>
              <w:spacing w:line="276" w:lineRule="auto"/>
              <w:ind w:left="-30" w:firstLine="30"/>
              <w:jc w:val="center"/>
            </w:pPr>
            <w:r w:rsidRPr="00FC1E97">
              <w:lastRenderedPageBreak/>
              <w:t>1</w:t>
            </w:r>
          </w:p>
        </w:tc>
        <w:tc>
          <w:tcPr>
            <w:tcW w:w="5529" w:type="dxa"/>
            <w:gridSpan w:val="2"/>
          </w:tcPr>
          <w:p w14:paraId="408545B7" w14:textId="6D5B6170" w:rsidR="00171522" w:rsidRPr="00FC1E97" w:rsidRDefault="00171522" w:rsidP="00171522">
            <w:pPr>
              <w:widowControl w:val="0"/>
              <w:spacing w:line="276" w:lineRule="auto"/>
            </w:pPr>
          </w:p>
        </w:tc>
        <w:tc>
          <w:tcPr>
            <w:tcW w:w="1275" w:type="dxa"/>
          </w:tcPr>
          <w:p w14:paraId="53D05BAA" w14:textId="60911BFD" w:rsidR="00171522" w:rsidRPr="00FC1E97" w:rsidRDefault="00171522" w:rsidP="00171522">
            <w:pPr>
              <w:jc w:val="center"/>
            </w:pPr>
          </w:p>
        </w:tc>
      </w:tr>
      <w:bookmarkEnd w:id="2"/>
    </w:tbl>
    <w:p w14:paraId="4127136D" w14:textId="77777777" w:rsidR="00734288" w:rsidRDefault="00734288" w:rsidP="006668EA"/>
    <w:sectPr w:rsidR="00734288" w:rsidSect="00843676">
      <w:pgSz w:w="16838" w:h="11906" w:orient="landscape"/>
      <w:pgMar w:top="720" w:right="851"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52797" w14:textId="77777777" w:rsidR="00947269" w:rsidRDefault="00947269">
      <w:r>
        <w:separator/>
      </w:r>
    </w:p>
  </w:endnote>
  <w:endnote w:type="continuationSeparator" w:id="0">
    <w:p w14:paraId="7E216911" w14:textId="77777777" w:rsidR="00947269" w:rsidRDefault="00947269">
      <w:r>
        <w:continuationSeparator/>
      </w:r>
    </w:p>
  </w:endnote>
  <w:endnote w:type="continuationNotice" w:id="1">
    <w:p w14:paraId="4A632FE0" w14:textId="77777777" w:rsidR="00947269" w:rsidRDefault="009472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YInterstate Light">
    <w:altName w:val="Times New Roman"/>
    <w:charset w:val="BA"/>
    <w:family w:val="auto"/>
    <w:pitch w:val="variable"/>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5C049" w14:textId="77777777" w:rsidR="00947269" w:rsidRDefault="00947269">
      <w:r>
        <w:separator/>
      </w:r>
    </w:p>
  </w:footnote>
  <w:footnote w:type="continuationSeparator" w:id="0">
    <w:p w14:paraId="782AAE8D" w14:textId="77777777" w:rsidR="00947269" w:rsidRDefault="00947269">
      <w:r>
        <w:continuationSeparator/>
      </w:r>
    </w:p>
  </w:footnote>
  <w:footnote w:type="continuationNotice" w:id="1">
    <w:p w14:paraId="3273842D" w14:textId="77777777" w:rsidR="00947269" w:rsidRDefault="0094726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unkt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A5020B3"/>
    <w:multiLevelType w:val="hybridMultilevel"/>
    <w:tmpl w:val="5D60A08E"/>
    <w:lvl w:ilvl="0" w:tplc="04090001">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B401DBA"/>
    <w:multiLevelType w:val="hybridMultilevel"/>
    <w:tmpl w:val="339C5AE6"/>
    <w:lvl w:ilvl="0" w:tplc="04090001">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D782BA8"/>
    <w:multiLevelType w:val="hybridMultilevel"/>
    <w:tmpl w:val="C196417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F104DED"/>
    <w:multiLevelType w:val="hybridMultilevel"/>
    <w:tmpl w:val="A92C9880"/>
    <w:lvl w:ilvl="0" w:tplc="D9A40F6A">
      <w:start w:val="1"/>
      <w:numFmt w:val="bullet"/>
      <w:pStyle w:val="Index1"/>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652113"/>
    <w:multiLevelType w:val="hybridMultilevel"/>
    <w:tmpl w:val="8CC4DE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3A37718"/>
    <w:multiLevelType w:val="multilevel"/>
    <w:tmpl w:val="AD04082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color w:val="002261"/>
      </w:rPr>
    </w:lvl>
    <w:lvl w:ilvl="3">
      <w:start w:val="1"/>
      <w:numFmt w:val="none"/>
      <w:lvlText w:val=""/>
      <w:lvlJc w:val="left"/>
      <w:pPr>
        <w:tabs>
          <w:tab w:val="num" w:pos="1148"/>
        </w:tabs>
        <w:ind w:left="1152" w:hanging="288"/>
      </w:pPr>
    </w:lvl>
    <w:lvl w:ilvl="4">
      <w:start w:val="1"/>
      <w:numFmt w:val="none"/>
      <w:lvlText w:val=""/>
      <w:lvlJc w:val="left"/>
      <w:pPr>
        <w:tabs>
          <w:tab w:val="num" w:pos="1436"/>
        </w:tabs>
        <w:ind w:left="1440" w:hanging="288"/>
      </w:pPr>
    </w:lvl>
    <w:lvl w:ilvl="5">
      <w:start w:val="1"/>
      <w:numFmt w:val="none"/>
      <w:lvlText w:val=""/>
      <w:lvlJc w:val="left"/>
      <w:pPr>
        <w:tabs>
          <w:tab w:val="num" w:pos="1724"/>
        </w:tabs>
        <w:ind w:left="1728" w:hanging="288"/>
      </w:pPr>
    </w:lvl>
    <w:lvl w:ilvl="6">
      <w:start w:val="1"/>
      <w:numFmt w:val="none"/>
      <w:lvlText w:val=""/>
      <w:lvlJc w:val="left"/>
      <w:pPr>
        <w:tabs>
          <w:tab w:val="num" w:pos="2012"/>
        </w:tabs>
        <w:ind w:left="2016" w:hanging="288"/>
      </w:pPr>
    </w:lvl>
    <w:lvl w:ilvl="7">
      <w:start w:val="1"/>
      <w:numFmt w:val="none"/>
      <w:lvlText w:val=""/>
      <w:lvlJc w:val="left"/>
      <w:pPr>
        <w:tabs>
          <w:tab w:val="num" w:pos="2300"/>
        </w:tabs>
        <w:ind w:left="2304" w:hanging="288"/>
      </w:pPr>
    </w:lvl>
    <w:lvl w:ilvl="8">
      <w:start w:val="1"/>
      <w:numFmt w:val="none"/>
      <w:lvlText w:val=""/>
      <w:lvlJc w:val="left"/>
      <w:pPr>
        <w:tabs>
          <w:tab w:val="num" w:pos="2588"/>
        </w:tabs>
        <w:ind w:left="2592" w:hanging="288"/>
      </w:pPr>
    </w:lvl>
  </w:abstractNum>
  <w:abstractNum w:abstractNumId="7" w15:restartNumberingAfterBreak="0">
    <w:nsid w:val="760851EB"/>
    <w:multiLevelType w:val="multilevel"/>
    <w:tmpl w:val="934432DC"/>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D9A5425"/>
    <w:multiLevelType w:val="hybridMultilevel"/>
    <w:tmpl w:val="BD20FE1E"/>
    <w:lvl w:ilvl="0" w:tplc="04090001">
      <w:start w:val="1"/>
      <w:numFmt w:val="bullet"/>
      <w:lvlText w:val=""/>
      <w:lvlJc w:val="left"/>
      <w:pPr>
        <w:tabs>
          <w:tab w:val="num" w:pos="360"/>
        </w:tabs>
        <w:ind w:left="36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4"/>
  </w:num>
  <w:num w:numId="4">
    <w:abstractNumId w:val="5"/>
  </w:num>
  <w:num w:numId="5">
    <w:abstractNumId w:val="1"/>
  </w:num>
  <w:num w:numId="6">
    <w:abstractNumId w:val="7"/>
  </w:num>
  <w:num w:numId="7">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944"/>
    <w:rsid w:val="00031155"/>
    <w:rsid w:val="000418B9"/>
    <w:rsid w:val="00063242"/>
    <w:rsid w:val="00065DA9"/>
    <w:rsid w:val="00067024"/>
    <w:rsid w:val="000724CF"/>
    <w:rsid w:val="00074477"/>
    <w:rsid w:val="00097486"/>
    <w:rsid w:val="000A239A"/>
    <w:rsid w:val="000A31B1"/>
    <w:rsid w:val="000B37E2"/>
    <w:rsid w:val="000B6B8E"/>
    <w:rsid w:val="000B7DF6"/>
    <w:rsid w:val="000F0B8B"/>
    <w:rsid w:val="00103A7D"/>
    <w:rsid w:val="00110FC8"/>
    <w:rsid w:val="00111C92"/>
    <w:rsid w:val="001151A5"/>
    <w:rsid w:val="00116D6B"/>
    <w:rsid w:val="001552DF"/>
    <w:rsid w:val="00171522"/>
    <w:rsid w:val="00172C72"/>
    <w:rsid w:val="00173611"/>
    <w:rsid w:val="00175CBC"/>
    <w:rsid w:val="00181B5A"/>
    <w:rsid w:val="001A107E"/>
    <w:rsid w:val="001B1712"/>
    <w:rsid w:val="001B2568"/>
    <w:rsid w:val="001B548E"/>
    <w:rsid w:val="001C74F2"/>
    <w:rsid w:val="001E29B3"/>
    <w:rsid w:val="001E3349"/>
    <w:rsid w:val="001F035A"/>
    <w:rsid w:val="00201944"/>
    <w:rsid w:val="00226172"/>
    <w:rsid w:val="002271BE"/>
    <w:rsid w:val="0024777D"/>
    <w:rsid w:val="00252E50"/>
    <w:rsid w:val="00266504"/>
    <w:rsid w:val="00270BBC"/>
    <w:rsid w:val="00284110"/>
    <w:rsid w:val="00293817"/>
    <w:rsid w:val="002A371A"/>
    <w:rsid w:val="002C13FE"/>
    <w:rsid w:val="002F12EA"/>
    <w:rsid w:val="0030146C"/>
    <w:rsid w:val="003015F1"/>
    <w:rsid w:val="00304C4A"/>
    <w:rsid w:val="003069C5"/>
    <w:rsid w:val="0033435F"/>
    <w:rsid w:val="0033765B"/>
    <w:rsid w:val="00377F6F"/>
    <w:rsid w:val="00390BD9"/>
    <w:rsid w:val="00392827"/>
    <w:rsid w:val="003A220F"/>
    <w:rsid w:val="003C2067"/>
    <w:rsid w:val="003C259B"/>
    <w:rsid w:val="003C25D3"/>
    <w:rsid w:val="003D7164"/>
    <w:rsid w:val="003E53E8"/>
    <w:rsid w:val="003E6139"/>
    <w:rsid w:val="0040306E"/>
    <w:rsid w:val="00403206"/>
    <w:rsid w:val="00415B89"/>
    <w:rsid w:val="00432A1C"/>
    <w:rsid w:val="004335BF"/>
    <w:rsid w:val="00437001"/>
    <w:rsid w:val="00453DC5"/>
    <w:rsid w:val="004662A1"/>
    <w:rsid w:val="0046766D"/>
    <w:rsid w:val="004701CF"/>
    <w:rsid w:val="00482EBC"/>
    <w:rsid w:val="00495C85"/>
    <w:rsid w:val="004A1D08"/>
    <w:rsid w:val="004B6329"/>
    <w:rsid w:val="004B7B73"/>
    <w:rsid w:val="004C55F9"/>
    <w:rsid w:val="004C655E"/>
    <w:rsid w:val="00527796"/>
    <w:rsid w:val="005472A0"/>
    <w:rsid w:val="0058106B"/>
    <w:rsid w:val="00586963"/>
    <w:rsid w:val="005A46D6"/>
    <w:rsid w:val="005B3D39"/>
    <w:rsid w:val="006114A2"/>
    <w:rsid w:val="00611ADF"/>
    <w:rsid w:val="00622B2D"/>
    <w:rsid w:val="0062433B"/>
    <w:rsid w:val="00636FB3"/>
    <w:rsid w:val="00652ED5"/>
    <w:rsid w:val="006668EA"/>
    <w:rsid w:val="006739B0"/>
    <w:rsid w:val="006862A8"/>
    <w:rsid w:val="006B78CA"/>
    <w:rsid w:val="006D117F"/>
    <w:rsid w:val="006D5C28"/>
    <w:rsid w:val="006E4928"/>
    <w:rsid w:val="006E7DE9"/>
    <w:rsid w:val="00723845"/>
    <w:rsid w:val="00731732"/>
    <w:rsid w:val="00734288"/>
    <w:rsid w:val="00751C0F"/>
    <w:rsid w:val="0076330B"/>
    <w:rsid w:val="0076450F"/>
    <w:rsid w:val="00764FF1"/>
    <w:rsid w:val="00773FBC"/>
    <w:rsid w:val="00786EFA"/>
    <w:rsid w:val="007B3315"/>
    <w:rsid w:val="007C388C"/>
    <w:rsid w:val="007C5D06"/>
    <w:rsid w:val="007E3352"/>
    <w:rsid w:val="007F786F"/>
    <w:rsid w:val="00811C80"/>
    <w:rsid w:val="00832880"/>
    <w:rsid w:val="00834C42"/>
    <w:rsid w:val="00843676"/>
    <w:rsid w:val="00855BC0"/>
    <w:rsid w:val="00856550"/>
    <w:rsid w:val="0087113C"/>
    <w:rsid w:val="00871C42"/>
    <w:rsid w:val="0087277C"/>
    <w:rsid w:val="008810BE"/>
    <w:rsid w:val="008B24DF"/>
    <w:rsid w:val="008D0C75"/>
    <w:rsid w:val="008D343C"/>
    <w:rsid w:val="008E16BD"/>
    <w:rsid w:val="009069E8"/>
    <w:rsid w:val="009072BB"/>
    <w:rsid w:val="00924782"/>
    <w:rsid w:val="00945F8A"/>
    <w:rsid w:val="00947269"/>
    <w:rsid w:val="00951114"/>
    <w:rsid w:val="00954AE8"/>
    <w:rsid w:val="00972177"/>
    <w:rsid w:val="009761F7"/>
    <w:rsid w:val="009965D3"/>
    <w:rsid w:val="009A71D6"/>
    <w:rsid w:val="009C1F19"/>
    <w:rsid w:val="009D10AB"/>
    <w:rsid w:val="009E13E9"/>
    <w:rsid w:val="009F3635"/>
    <w:rsid w:val="00A02DD7"/>
    <w:rsid w:val="00A07EFA"/>
    <w:rsid w:val="00A10259"/>
    <w:rsid w:val="00A15721"/>
    <w:rsid w:val="00A70845"/>
    <w:rsid w:val="00A71B35"/>
    <w:rsid w:val="00A829D9"/>
    <w:rsid w:val="00A95CFF"/>
    <w:rsid w:val="00A9683D"/>
    <w:rsid w:val="00A97126"/>
    <w:rsid w:val="00AC1C93"/>
    <w:rsid w:val="00AC799C"/>
    <w:rsid w:val="00AD4800"/>
    <w:rsid w:val="00B00735"/>
    <w:rsid w:val="00B02DD1"/>
    <w:rsid w:val="00B3084C"/>
    <w:rsid w:val="00B40694"/>
    <w:rsid w:val="00B41529"/>
    <w:rsid w:val="00B4260C"/>
    <w:rsid w:val="00B42BDA"/>
    <w:rsid w:val="00B47F44"/>
    <w:rsid w:val="00B61486"/>
    <w:rsid w:val="00BD78D1"/>
    <w:rsid w:val="00BE2627"/>
    <w:rsid w:val="00C0547E"/>
    <w:rsid w:val="00C141D3"/>
    <w:rsid w:val="00C34630"/>
    <w:rsid w:val="00C34907"/>
    <w:rsid w:val="00C36FD8"/>
    <w:rsid w:val="00C47D75"/>
    <w:rsid w:val="00C5386E"/>
    <w:rsid w:val="00C53A82"/>
    <w:rsid w:val="00C63B04"/>
    <w:rsid w:val="00C70A79"/>
    <w:rsid w:val="00C76B86"/>
    <w:rsid w:val="00C85C42"/>
    <w:rsid w:val="00CE2F37"/>
    <w:rsid w:val="00CE41E4"/>
    <w:rsid w:val="00CF4411"/>
    <w:rsid w:val="00D01B7A"/>
    <w:rsid w:val="00D041D7"/>
    <w:rsid w:val="00D1194F"/>
    <w:rsid w:val="00D22D12"/>
    <w:rsid w:val="00D269A1"/>
    <w:rsid w:val="00D27473"/>
    <w:rsid w:val="00D276BA"/>
    <w:rsid w:val="00D54CD0"/>
    <w:rsid w:val="00D57E87"/>
    <w:rsid w:val="00D73BA1"/>
    <w:rsid w:val="00D805FB"/>
    <w:rsid w:val="00D841E9"/>
    <w:rsid w:val="00D9098B"/>
    <w:rsid w:val="00DA6D01"/>
    <w:rsid w:val="00DB2A08"/>
    <w:rsid w:val="00DB39C7"/>
    <w:rsid w:val="00DE5880"/>
    <w:rsid w:val="00DF6AFB"/>
    <w:rsid w:val="00E16FBD"/>
    <w:rsid w:val="00E21112"/>
    <w:rsid w:val="00E30C31"/>
    <w:rsid w:val="00E413C3"/>
    <w:rsid w:val="00E4312E"/>
    <w:rsid w:val="00E4583A"/>
    <w:rsid w:val="00EA5E1B"/>
    <w:rsid w:val="00EA7533"/>
    <w:rsid w:val="00EB3A62"/>
    <w:rsid w:val="00EC0C2E"/>
    <w:rsid w:val="00EC7AC3"/>
    <w:rsid w:val="00ED592F"/>
    <w:rsid w:val="00ED5DB6"/>
    <w:rsid w:val="00EF189E"/>
    <w:rsid w:val="00EF4FBA"/>
    <w:rsid w:val="00F0328D"/>
    <w:rsid w:val="00F133E1"/>
    <w:rsid w:val="00F37965"/>
    <w:rsid w:val="00F4086F"/>
    <w:rsid w:val="00F43825"/>
    <w:rsid w:val="00F50E4B"/>
    <w:rsid w:val="00F6690D"/>
    <w:rsid w:val="00F94DD0"/>
    <w:rsid w:val="00FC43F6"/>
    <w:rsid w:val="00FD13DD"/>
    <w:rsid w:val="00FD7764"/>
    <w:rsid w:val="00FE15E1"/>
    <w:rsid w:val="398FCBAC"/>
    <w:rsid w:val="7D8AC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C34D"/>
  <w15:chartTrackingRefBased/>
  <w15:docId w15:val="{58BF3D25-C7D7-47E8-859F-541E28F7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944"/>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9E13E9"/>
    <w:pPr>
      <w:keepNext/>
      <w:keepLines/>
      <w:suppressAutoHyphens w:val="0"/>
      <w:spacing w:before="240"/>
      <w:jc w:val="left"/>
      <w:outlineLvl w:val="0"/>
    </w:pPr>
    <w:rPr>
      <w:rFonts w:asciiTheme="majorHAnsi" w:eastAsiaTheme="majorEastAsia" w:hAnsiTheme="majorHAnsi" w:cstheme="majorBidi"/>
      <w:color w:val="2F5496" w:themeColor="accent1" w:themeShade="BF"/>
      <w:kern w:val="56"/>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48E"/>
    <w:rPr>
      <w:color w:val="0563C1" w:themeColor="hyperlink"/>
      <w:u w:val="single"/>
    </w:rPr>
  </w:style>
  <w:style w:type="character" w:customStyle="1" w:styleId="UnresolvedMention1">
    <w:name w:val="Unresolved Mention1"/>
    <w:basedOn w:val="DefaultParagraphFont"/>
    <w:uiPriority w:val="99"/>
    <w:semiHidden/>
    <w:unhideWhenUsed/>
    <w:rsid w:val="001B548E"/>
    <w:rPr>
      <w:color w:val="605E5C"/>
      <w:shd w:val="clear" w:color="auto" w:fill="E1DFDD"/>
    </w:rPr>
  </w:style>
  <w:style w:type="paragraph" w:styleId="Index1">
    <w:name w:val="index 1"/>
    <w:basedOn w:val="Normal"/>
    <w:next w:val="Normal"/>
    <w:autoRedefine/>
    <w:uiPriority w:val="99"/>
    <w:unhideWhenUsed/>
    <w:rsid w:val="007B3315"/>
    <w:pPr>
      <w:framePr w:hSpace="180" w:wrap="around" w:vAnchor="text" w:hAnchor="margin" w:xAlign="center" w:y="575"/>
      <w:numPr>
        <w:numId w:val="3"/>
      </w:numPr>
      <w:tabs>
        <w:tab w:val="clear" w:pos="720"/>
      </w:tabs>
      <w:suppressAutoHyphens w:val="0"/>
      <w:jc w:val="left"/>
    </w:pPr>
    <w:rPr>
      <w:rFonts w:eastAsia="Times New Roman"/>
      <w:sz w:val="22"/>
      <w:szCs w:val="22"/>
      <w:lang w:eastAsia="lv-LV"/>
    </w:rPr>
  </w:style>
  <w:style w:type="paragraph" w:customStyle="1" w:styleId="xmsonormal">
    <w:name w:val="x_msonormal"/>
    <w:basedOn w:val="Normal"/>
    <w:rsid w:val="00A71B35"/>
    <w:pPr>
      <w:suppressAutoHyphens w:val="0"/>
      <w:spacing w:before="100" w:beforeAutospacing="1" w:after="100" w:afterAutospacing="1"/>
      <w:jc w:val="left"/>
    </w:pPr>
    <w:rPr>
      <w:rFonts w:eastAsia="Times New Roman"/>
      <w:lang w:eastAsia="lv-LV"/>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Pr>
      <w:rFonts w:ascii="Times New Roman" w:eastAsia="Calibri" w:hAnsi="Times New Roman" w:cs="Times New Roman"/>
      <w:sz w:val="24"/>
      <w:szCs w:val="24"/>
      <w:lang w:val="lv-LV" w:eastAsia="ar-SA"/>
    </w:rPr>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pPr>
      <w:tabs>
        <w:tab w:val="center" w:pos="4680"/>
        <w:tab w:val="right" w:pos="9360"/>
      </w:tabs>
    </w:pPr>
  </w:style>
  <w:style w:type="paragraph" w:styleId="ListParagraph">
    <w:name w:val="List Paragraph"/>
    <w:aliases w:val="Saistīto dokumentu saraksts"/>
    <w:basedOn w:val="Normal"/>
    <w:link w:val="ListParagraphChar"/>
    <w:uiPriority w:val="34"/>
    <w:qFormat/>
    <w:rsid w:val="00ED592F"/>
    <w:pPr>
      <w:ind w:left="720"/>
      <w:contextualSpacing/>
    </w:pPr>
  </w:style>
  <w:style w:type="character" w:styleId="CommentReference">
    <w:name w:val="annotation reference"/>
    <w:basedOn w:val="DefaultParagraphFont"/>
    <w:uiPriority w:val="99"/>
    <w:semiHidden/>
    <w:unhideWhenUsed/>
    <w:rsid w:val="00B4260C"/>
    <w:rPr>
      <w:sz w:val="16"/>
      <w:szCs w:val="16"/>
    </w:rPr>
  </w:style>
  <w:style w:type="paragraph" w:styleId="CommentText">
    <w:name w:val="annotation text"/>
    <w:basedOn w:val="Normal"/>
    <w:link w:val="CommentTextChar"/>
    <w:uiPriority w:val="99"/>
    <w:semiHidden/>
    <w:unhideWhenUsed/>
    <w:rsid w:val="00B4260C"/>
    <w:rPr>
      <w:sz w:val="20"/>
      <w:szCs w:val="20"/>
    </w:rPr>
  </w:style>
  <w:style w:type="character" w:customStyle="1" w:styleId="CommentTextChar">
    <w:name w:val="Comment Text Char"/>
    <w:basedOn w:val="DefaultParagraphFont"/>
    <w:link w:val="CommentText"/>
    <w:uiPriority w:val="99"/>
    <w:semiHidden/>
    <w:rsid w:val="00B4260C"/>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B4260C"/>
    <w:rPr>
      <w:b/>
      <w:bCs/>
    </w:rPr>
  </w:style>
  <w:style w:type="character" w:customStyle="1" w:styleId="CommentSubjectChar">
    <w:name w:val="Comment Subject Char"/>
    <w:basedOn w:val="CommentTextChar"/>
    <w:link w:val="CommentSubject"/>
    <w:uiPriority w:val="99"/>
    <w:semiHidden/>
    <w:rsid w:val="00B4260C"/>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B426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60C"/>
    <w:rPr>
      <w:rFonts w:ascii="Segoe UI" w:eastAsia="Calibri" w:hAnsi="Segoe UI" w:cs="Segoe UI"/>
      <w:sz w:val="18"/>
      <w:szCs w:val="18"/>
      <w:lang w:val="lv-LV" w:eastAsia="ar-SA"/>
    </w:rPr>
  </w:style>
  <w:style w:type="paragraph" w:styleId="NoSpacing">
    <w:name w:val="No Spacing"/>
    <w:link w:val="NoSpacingChar"/>
    <w:qFormat/>
    <w:rsid w:val="00116D6B"/>
    <w:pPr>
      <w:spacing w:after="0" w:line="240" w:lineRule="auto"/>
    </w:pPr>
    <w:rPr>
      <w:rFonts w:ascii="Calibri" w:eastAsia="Calibri" w:hAnsi="Calibri" w:cs="Times New Roman"/>
      <w:lang w:val="lv-LV"/>
    </w:rPr>
  </w:style>
  <w:style w:type="paragraph" w:customStyle="1" w:styleId="Nodala1">
    <w:name w:val="Nodala 1"/>
    <w:basedOn w:val="Normal"/>
    <w:qFormat/>
    <w:rsid w:val="00116D6B"/>
    <w:pPr>
      <w:numPr>
        <w:numId w:val="6"/>
      </w:numPr>
      <w:shd w:val="clear" w:color="auto" w:fill="D9D9D9" w:themeFill="background1" w:themeFillShade="D9"/>
      <w:spacing w:before="120" w:after="120"/>
      <w:jc w:val="center"/>
    </w:pPr>
    <w:rPr>
      <w:b/>
    </w:rPr>
  </w:style>
  <w:style w:type="paragraph" w:customStyle="1" w:styleId="Nodala11">
    <w:name w:val="Nodala 1.1"/>
    <w:basedOn w:val="Normal"/>
    <w:link w:val="Nodala11Char"/>
    <w:qFormat/>
    <w:rsid w:val="00116D6B"/>
    <w:pPr>
      <w:numPr>
        <w:ilvl w:val="1"/>
        <w:numId w:val="6"/>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116D6B"/>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116D6B"/>
    <w:pPr>
      <w:numPr>
        <w:ilvl w:val="2"/>
        <w:numId w:val="6"/>
      </w:numPr>
      <w:ind w:left="720" w:firstLine="0"/>
    </w:pPr>
  </w:style>
  <w:style w:type="paragraph" w:customStyle="1" w:styleId="Nodala1111">
    <w:name w:val="Nodala 1.1.1.1"/>
    <w:basedOn w:val="Nodala111"/>
    <w:qFormat/>
    <w:rsid w:val="00116D6B"/>
    <w:pPr>
      <w:numPr>
        <w:ilvl w:val="3"/>
      </w:numPr>
      <w:tabs>
        <w:tab w:val="num" w:pos="360"/>
      </w:tabs>
      <w:suppressAutoHyphens w:val="0"/>
      <w:spacing w:before="60" w:after="60"/>
      <w:contextualSpacing w:val="0"/>
    </w:pPr>
    <w:rPr>
      <w:rFonts w:eastAsiaTheme="minorHAnsi"/>
    </w:rPr>
  </w:style>
  <w:style w:type="character" w:customStyle="1" w:styleId="NoSpacingChar">
    <w:name w:val="No Spacing Char"/>
    <w:link w:val="NoSpacing"/>
    <w:locked/>
    <w:rsid w:val="00116D6B"/>
    <w:rPr>
      <w:rFonts w:ascii="Calibri" w:eastAsia="Calibri" w:hAnsi="Calibri" w:cs="Times New Roman"/>
      <w:lang w:val="lv-LV"/>
    </w:rPr>
  </w:style>
  <w:style w:type="character" w:customStyle="1" w:styleId="EYNormalChar">
    <w:name w:val="EY Normal Char"/>
    <w:link w:val="EYNormal"/>
    <w:locked/>
    <w:rsid w:val="00116D6B"/>
    <w:rPr>
      <w:rFonts w:ascii="EYInterstate Light" w:eastAsia="Calibri" w:hAnsi="EYInterstate Light"/>
      <w:kern w:val="12"/>
      <w:szCs w:val="24"/>
      <w:lang w:eastAsia="en-GB"/>
    </w:rPr>
  </w:style>
  <w:style w:type="paragraph" w:customStyle="1" w:styleId="EYNormal">
    <w:name w:val="EY Normal"/>
    <w:link w:val="EYNormalChar"/>
    <w:rsid w:val="00116D6B"/>
    <w:pPr>
      <w:spacing w:before="60" w:after="60" w:line="276" w:lineRule="auto"/>
      <w:jc w:val="both"/>
    </w:pPr>
    <w:rPr>
      <w:rFonts w:ascii="EYInterstate Light" w:eastAsia="Calibri" w:hAnsi="EYInterstate Light"/>
      <w:kern w:val="12"/>
      <w:szCs w:val="24"/>
      <w:lang w:eastAsia="en-GB"/>
    </w:rPr>
  </w:style>
  <w:style w:type="paragraph" w:customStyle="1" w:styleId="EYTablebullet1">
    <w:name w:val="EY Table bullet 1"/>
    <w:basedOn w:val="Normal"/>
    <w:rsid w:val="00116D6B"/>
    <w:pPr>
      <w:numPr>
        <w:numId w:val="7"/>
      </w:numPr>
      <w:tabs>
        <w:tab w:val="clear" w:pos="284"/>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116D6B"/>
    <w:pPr>
      <w:numPr>
        <w:ilvl w:val="1"/>
      </w:numPr>
      <w:tabs>
        <w:tab w:val="num" w:pos="360"/>
      </w:tabs>
      <w:ind w:left="1440" w:hanging="360"/>
    </w:pPr>
  </w:style>
  <w:style w:type="table" w:styleId="GridTable1Light">
    <w:name w:val="Grid Table 1 Light"/>
    <w:basedOn w:val="TableNormal"/>
    <w:uiPriority w:val="46"/>
    <w:rsid w:val="00116D6B"/>
    <w:pPr>
      <w:spacing w:after="0" w:line="240" w:lineRule="auto"/>
    </w:pPr>
    <w:rPr>
      <w:rFonts w:ascii="Times New Roman" w:eastAsia="Times New Roman" w:hAnsi="Times New Roman" w:cs="Times New Roman"/>
      <w:sz w:val="20"/>
      <w:szCs w:val="20"/>
      <w:lang w:val="lv-LV"/>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9E13E9"/>
    <w:rPr>
      <w:rFonts w:asciiTheme="majorHAnsi" w:eastAsiaTheme="majorEastAsia" w:hAnsiTheme="majorHAnsi" w:cstheme="majorBidi"/>
      <w:color w:val="2F5496" w:themeColor="accent1" w:themeShade="BF"/>
      <w:kern w:val="56"/>
      <w:sz w:val="32"/>
      <w:szCs w:val="32"/>
      <w:lang w:val="lv-LV"/>
    </w:rPr>
  </w:style>
  <w:style w:type="character" w:customStyle="1" w:styleId="ListParagraphChar">
    <w:name w:val="List Paragraph Char"/>
    <w:aliases w:val="Saistīto dokumentu saraksts Char"/>
    <w:link w:val="ListParagraph"/>
    <w:uiPriority w:val="34"/>
    <w:locked/>
    <w:rsid w:val="009E13E9"/>
    <w:rPr>
      <w:rFonts w:ascii="Times New Roman" w:eastAsia="Calibri" w:hAnsi="Times New Roman" w:cs="Times New Roman"/>
      <w:sz w:val="24"/>
      <w:szCs w:val="24"/>
      <w:lang w:val="lv-LV" w:eastAsia="ar-SA"/>
    </w:rPr>
  </w:style>
  <w:style w:type="paragraph" w:customStyle="1" w:styleId="Punkts">
    <w:name w:val="Punkts"/>
    <w:basedOn w:val="Normal"/>
    <w:next w:val="Apakpunkts"/>
    <w:rsid w:val="009E13E9"/>
    <w:pPr>
      <w:numPr>
        <w:ilvl w:val="2"/>
        <w:numId w:val="8"/>
      </w:numPr>
      <w:suppressAutoHyphens w:val="0"/>
      <w:jc w:val="left"/>
    </w:pPr>
    <w:rPr>
      <w:rFonts w:ascii="Arial" w:eastAsia="Times New Roman" w:hAnsi="Arial"/>
      <w:b/>
      <w:sz w:val="20"/>
      <w:lang w:eastAsia="lv-LV"/>
    </w:rPr>
  </w:style>
  <w:style w:type="paragraph" w:customStyle="1" w:styleId="Apakpunkts">
    <w:name w:val="Apakšpunkts"/>
    <w:basedOn w:val="Normal"/>
    <w:rsid w:val="009E13E9"/>
    <w:pPr>
      <w:numPr>
        <w:ilvl w:val="1"/>
        <w:numId w:val="8"/>
      </w:numPr>
      <w:suppressAutoHyphens w:val="0"/>
      <w:jc w:val="left"/>
    </w:pPr>
    <w:rPr>
      <w:rFonts w:ascii="Arial" w:eastAsia="Times New Roman" w:hAnsi="Arial"/>
      <w:b/>
      <w:sz w:val="20"/>
      <w:lang w:eastAsia="lv-LV"/>
    </w:rPr>
  </w:style>
  <w:style w:type="character" w:styleId="FollowedHyperlink">
    <w:name w:val="FollowedHyperlink"/>
    <w:basedOn w:val="DefaultParagraphFont"/>
    <w:uiPriority w:val="99"/>
    <w:semiHidden/>
    <w:unhideWhenUsed/>
    <w:rsid w:val="009E13E9"/>
    <w:rPr>
      <w:color w:val="954F72" w:themeColor="followedHyperlink"/>
      <w:u w:val="single"/>
    </w:rPr>
  </w:style>
  <w:style w:type="character" w:styleId="UnresolvedMention">
    <w:name w:val="Unresolved Mention"/>
    <w:basedOn w:val="DefaultParagraphFont"/>
    <w:uiPriority w:val="99"/>
    <w:semiHidden/>
    <w:unhideWhenUsed/>
    <w:rsid w:val="00B61486"/>
    <w:rPr>
      <w:color w:val="605E5C"/>
      <w:shd w:val="clear" w:color="auto" w:fill="E1DFDD"/>
    </w:rPr>
  </w:style>
  <w:style w:type="character" w:customStyle="1" w:styleId="hljs-string">
    <w:name w:val="hljs-string"/>
    <w:basedOn w:val="DefaultParagraphFont"/>
    <w:rsid w:val="00D041D7"/>
  </w:style>
  <w:style w:type="character" w:customStyle="1" w:styleId="ui-provider">
    <w:name w:val="ui-provider"/>
    <w:basedOn w:val="DefaultParagraphFont"/>
    <w:rsid w:val="00947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590291">
      <w:bodyDiv w:val="1"/>
      <w:marLeft w:val="0"/>
      <w:marRight w:val="0"/>
      <w:marTop w:val="0"/>
      <w:marBottom w:val="0"/>
      <w:divBdr>
        <w:top w:val="none" w:sz="0" w:space="0" w:color="auto"/>
        <w:left w:val="none" w:sz="0" w:space="0" w:color="auto"/>
        <w:bottom w:val="none" w:sz="0" w:space="0" w:color="auto"/>
        <w:right w:val="none" w:sz="0" w:space="0" w:color="auto"/>
      </w:divBdr>
    </w:div>
    <w:div w:id="1567302614">
      <w:bodyDiv w:val="1"/>
      <w:marLeft w:val="0"/>
      <w:marRight w:val="0"/>
      <w:marTop w:val="0"/>
      <w:marBottom w:val="0"/>
      <w:divBdr>
        <w:top w:val="none" w:sz="0" w:space="0" w:color="auto"/>
        <w:left w:val="none" w:sz="0" w:space="0" w:color="auto"/>
        <w:bottom w:val="none" w:sz="0" w:space="0" w:color="auto"/>
        <w:right w:val="none" w:sz="0" w:space="0" w:color="auto"/>
      </w:divBdr>
    </w:div>
    <w:div w:id="1656715293">
      <w:bodyDiv w:val="1"/>
      <w:marLeft w:val="0"/>
      <w:marRight w:val="0"/>
      <w:marTop w:val="0"/>
      <w:marBottom w:val="0"/>
      <w:divBdr>
        <w:top w:val="none" w:sz="0" w:space="0" w:color="auto"/>
        <w:left w:val="none" w:sz="0" w:space="0" w:color="auto"/>
        <w:bottom w:val="none" w:sz="0" w:space="0" w:color="auto"/>
        <w:right w:val="none" w:sz="0" w:space="0" w:color="auto"/>
      </w:divBdr>
    </w:div>
    <w:div w:id="1809132375">
      <w:bodyDiv w:val="1"/>
      <w:marLeft w:val="0"/>
      <w:marRight w:val="0"/>
      <w:marTop w:val="0"/>
      <w:marBottom w:val="0"/>
      <w:divBdr>
        <w:top w:val="none" w:sz="0" w:space="0" w:color="auto"/>
        <w:left w:val="none" w:sz="0" w:space="0" w:color="auto"/>
        <w:bottom w:val="none" w:sz="0" w:space="0" w:color="auto"/>
        <w:right w:val="none" w:sz="0" w:space="0" w:color="auto"/>
      </w:divBdr>
    </w:div>
    <w:div w:id="202848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dd8771-2dc7-4714-abe2-9ab94c15e48e">
      <Terms xmlns="http://schemas.microsoft.com/office/infopath/2007/PartnerControls"/>
    </lcf76f155ced4ddcb4097134ff3c332f>
    <TaxCatchAll xmlns="0485a2c5-5f84-466d-b2e1-6ef3c9098cf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BD1194B584E742A6F8EB5C09A991E7" ma:contentTypeVersion="18" ma:contentTypeDescription="Create a new document." ma:contentTypeScope="" ma:versionID="e4bf3780823219f731578b9d5fa9af0b">
  <xsd:schema xmlns:xsd="http://www.w3.org/2001/XMLSchema" xmlns:xs="http://www.w3.org/2001/XMLSchema" xmlns:p="http://schemas.microsoft.com/office/2006/metadata/properties" xmlns:ns2="cadd8771-2dc7-4714-abe2-9ab94c15e48e" xmlns:ns3="0485a2c5-5f84-466d-b2e1-6ef3c9098cf5" targetNamespace="http://schemas.microsoft.com/office/2006/metadata/properties" ma:root="true" ma:fieldsID="25cc05abf600cfa7b6bbd5dd419ca483" ns2:_="" ns3:_="">
    <xsd:import namespace="cadd8771-2dc7-4714-abe2-9ab94c15e48e"/>
    <xsd:import namespace="0485a2c5-5f84-466d-b2e1-6ef3c9098cf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d8771-2dc7-4714-abe2-9ab94c15e4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85a2c5-5f84-466d-b2e1-6ef3c9098cf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a3357a0-eb2c-404b-bd9c-72e1a6603a94}" ma:internalName="TaxCatchAll" ma:showField="CatchAllData" ma:web="0485a2c5-5f84-466d-b2e1-6ef3c9098c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4D33D8-06C1-48EA-BA84-5188FBF845C9}">
  <ds:schemaRefs>
    <ds:schemaRef ds:uri="http://www.w3.org/XML/1998/namespace"/>
    <ds:schemaRef ds:uri="http://schemas.microsoft.com/office/2006/documentManagement/types"/>
    <ds:schemaRef ds:uri="http://purl.org/dc/elements/1.1/"/>
    <ds:schemaRef ds:uri="http://schemas.microsoft.com/office/infopath/2007/PartnerControls"/>
    <ds:schemaRef ds:uri="cadd8771-2dc7-4714-abe2-9ab94c15e48e"/>
    <ds:schemaRef ds:uri="http://purl.org/dc/dcmitype/"/>
    <ds:schemaRef ds:uri="http://schemas.openxmlformats.org/package/2006/metadata/core-properties"/>
    <ds:schemaRef ds:uri="0485a2c5-5f84-466d-b2e1-6ef3c9098cf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E256DE9-AF74-4B57-909F-1E335109FE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d8771-2dc7-4714-abe2-9ab94c15e48e"/>
    <ds:schemaRef ds:uri="0485a2c5-5f84-466d-b2e1-6ef3c9098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F867A6-C308-489D-ACB5-DF0F10BBC0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3398</Words>
  <Characters>1937</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Laizāns</dc:creator>
  <cp:keywords/>
  <dc:description/>
  <cp:lastModifiedBy>Ieva Kantika</cp:lastModifiedBy>
  <cp:revision>4</cp:revision>
  <cp:lastPrinted>2023-04-27T11:31:00Z</cp:lastPrinted>
  <dcterms:created xsi:type="dcterms:W3CDTF">2024-08-19T13:29:00Z</dcterms:created>
  <dcterms:modified xsi:type="dcterms:W3CDTF">2024-10-07T12:29:00Z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0x010100DABD1194B584E742A6F8EB5C09A991E7</vt:lpwstr>
  </property>
  <property fmtid="{D5CDD505-2E9C-101B-9397-08002B2CF9AE}" pid="3" name="MediaServiceImageTags">
    <vt:lpwstr/>
  </property>
</Properties>
</file>