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9C2EDD9"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EC01A3">
        <w:rPr>
          <w:rFonts w:ascii="Times New Roman" w:hAnsi="Times New Roman" w:cs="Times New Roman"/>
          <w:b/>
          <w:bCs/>
          <w:sz w:val="24"/>
          <w:szCs w:val="24"/>
          <w:u w:val="single"/>
        </w:rPr>
        <w:t>2</w:t>
      </w:r>
      <w:r w:rsidR="00522932">
        <w:rPr>
          <w:rFonts w:ascii="Times New Roman" w:hAnsi="Times New Roman" w:cs="Times New Roman"/>
          <w:b/>
          <w:bCs/>
          <w:sz w:val="24"/>
          <w:szCs w:val="24"/>
          <w:u w:val="single"/>
        </w:rPr>
        <w:t>2</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35B0E7A6" w14:textId="77777777" w:rsidR="00EC01A3" w:rsidRPr="00522932" w:rsidRDefault="00EC01A3" w:rsidP="00EC01A3">
      <w:pPr>
        <w:spacing w:after="0" w:line="240" w:lineRule="auto"/>
        <w:jc w:val="both"/>
        <w:rPr>
          <w:rFonts w:ascii="Times New Roman" w:hAnsi="Times New Roman" w:cs="Times New Roman"/>
          <w:sz w:val="24"/>
          <w:szCs w:val="24"/>
        </w:rPr>
      </w:pPr>
    </w:p>
    <w:p w14:paraId="14B258DE" w14:textId="14E987FF" w:rsidR="00522932" w:rsidRPr="00547A93" w:rsidRDefault="00EC01A3" w:rsidP="00547A93">
      <w:pPr>
        <w:jc w:val="both"/>
        <w:rPr>
          <w:rFonts w:ascii="Times New Roman" w:hAnsi="Times New Roman" w:cs="Times New Roman"/>
          <w:sz w:val="24"/>
          <w:szCs w:val="24"/>
        </w:rPr>
      </w:pPr>
      <w:r w:rsidRPr="00547A93">
        <w:rPr>
          <w:rFonts w:ascii="Times New Roman" w:hAnsi="Times New Roman" w:cs="Times New Roman"/>
          <w:sz w:val="24"/>
          <w:szCs w:val="24"/>
        </w:rPr>
        <w:tab/>
      </w:r>
      <w:r w:rsidR="00522932" w:rsidRPr="00547A93">
        <w:rPr>
          <w:rFonts w:ascii="Times New Roman" w:hAnsi="Times New Roman" w:cs="Times New Roman"/>
          <w:sz w:val="24"/>
          <w:szCs w:val="24"/>
        </w:rPr>
        <w:t xml:space="preserve">Iepazīstoties ar atklātā konkursa </w:t>
      </w:r>
      <w:r w:rsidR="00522932" w:rsidRPr="00547A93">
        <w:rPr>
          <w:rFonts w:ascii="Times New Roman" w:hAnsi="Times New Roman" w:cs="Times New Roman"/>
          <w:bCs/>
          <w:iCs/>
          <w:sz w:val="24"/>
          <w:szCs w:val="24"/>
        </w:rPr>
        <w:t>“Vanšu tilta pārbūve, projektēšana un autoruzraudzība”, ID Nr. CAIP 2024/135,</w:t>
      </w:r>
      <w:r w:rsidR="00522932" w:rsidRPr="00547A93">
        <w:rPr>
          <w:rFonts w:ascii="Times New Roman" w:hAnsi="Times New Roman" w:cs="Times New Roman"/>
          <w:sz w:val="24"/>
          <w:szCs w:val="24"/>
        </w:rPr>
        <w:t xml:space="preserve"> nolikumu, konkursa dokumentāciju un atbildēm uz pretendentu jautājumiem vēlamies precizēt:</w:t>
      </w:r>
    </w:p>
    <w:p w14:paraId="20E3BA19" w14:textId="77777777" w:rsidR="00522932" w:rsidRPr="00547A93" w:rsidRDefault="00522932" w:rsidP="00522932">
      <w:pPr>
        <w:jc w:val="both"/>
        <w:rPr>
          <w:rFonts w:ascii="Times New Roman" w:hAnsi="Times New Roman" w:cs="Times New Roman"/>
          <w:sz w:val="24"/>
          <w:szCs w:val="24"/>
        </w:rPr>
      </w:pPr>
      <w:r w:rsidRPr="00547A93">
        <w:rPr>
          <w:rFonts w:ascii="Times New Roman" w:hAnsi="Times New Roman" w:cs="Times New Roman"/>
          <w:b/>
          <w:bCs/>
          <w:sz w:val="24"/>
          <w:szCs w:val="24"/>
        </w:rPr>
        <w:t>1.jautājums</w:t>
      </w:r>
      <w:r w:rsidRPr="00547A93">
        <w:rPr>
          <w:rFonts w:ascii="Times New Roman" w:hAnsi="Times New Roman" w:cs="Times New Roman"/>
          <w:sz w:val="24"/>
          <w:szCs w:val="24"/>
        </w:rPr>
        <w:t>:</w:t>
      </w:r>
    </w:p>
    <w:p w14:paraId="19080375" w14:textId="77777777" w:rsidR="00522932" w:rsidRPr="00547A93" w:rsidRDefault="00522932" w:rsidP="00522932">
      <w:pPr>
        <w:spacing w:after="0" w:line="240" w:lineRule="auto"/>
        <w:ind w:left="360"/>
        <w:rPr>
          <w:rFonts w:ascii="Times New Roman" w:eastAsia="Calibri" w:hAnsi="Times New Roman" w:cs="Times New Roman"/>
          <w:b/>
          <w:bCs/>
          <w:sz w:val="24"/>
          <w:szCs w:val="24"/>
        </w:rPr>
      </w:pPr>
      <w:r w:rsidRPr="00547A93">
        <w:rPr>
          <w:rFonts w:ascii="Times New Roman" w:eastAsia="Calibri" w:hAnsi="Times New Roman" w:cs="Times New Roman"/>
          <w:b/>
          <w:bCs/>
          <w:sz w:val="24"/>
          <w:szCs w:val="24"/>
        </w:rPr>
        <w:t>GAT pārbūve Noliktavas ielā</w:t>
      </w:r>
    </w:p>
    <w:p w14:paraId="63796BEE"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sz w:val="24"/>
          <w:szCs w:val="24"/>
        </w:rPr>
        <w:t>Ņemot vērā to, ka MBP un Darbu daudzumu sarakstā nav iekļauta ar MBP risinājumiem konfliktējošo esošo GAT pārbūve pārbūvējamā Noliktavas ielas pieslēgumā, lūdzam apstiprināt, ka piedāvājumā nav jāparedz esošā GAT pārbūve.</w:t>
      </w:r>
    </w:p>
    <w:p w14:paraId="442E6DCA"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noProof/>
          <w:sz w:val="24"/>
          <w:szCs w:val="24"/>
        </w:rPr>
        <w:drawing>
          <wp:inline distT="0" distB="0" distL="0" distR="0" wp14:anchorId="54ADABDC" wp14:editId="25A6F27C">
            <wp:extent cx="5734050" cy="3238500"/>
            <wp:effectExtent l="0" t="0" r="0" b="0"/>
            <wp:docPr id="436187789" name="Picture 6" descr="Attēls, kurā ir teksts, diagramma, karte, rind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ttēls, kurā ir teksts, diagramma, karte, rinda&#10;&#10;Mākslīgā intelekta ģenerēts saturs var būt nepareiz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48736B16" w14:textId="77777777" w:rsidR="00522932" w:rsidRPr="00547A93" w:rsidRDefault="00522932" w:rsidP="00522932">
      <w:pPr>
        <w:spacing w:after="0" w:line="240" w:lineRule="auto"/>
        <w:jc w:val="both"/>
        <w:rPr>
          <w:rFonts w:ascii="Times New Roman" w:hAnsi="Times New Roman" w:cs="Times New Roman"/>
          <w:b/>
          <w:bCs/>
          <w:sz w:val="24"/>
          <w:szCs w:val="24"/>
        </w:rPr>
      </w:pPr>
    </w:p>
    <w:p w14:paraId="4EF39BAF" w14:textId="707B6234" w:rsidR="00522932" w:rsidRPr="00547A93" w:rsidRDefault="00522932" w:rsidP="00522932">
      <w:pPr>
        <w:spacing w:after="0" w:line="240" w:lineRule="auto"/>
        <w:jc w:val="both"/>
        <w:rPr>
          <w:rFonts w:ascii="Times New Roman" w:hAnsi="Times New Roman" w:cs="Times New Roman"/>
          <w:sz w:val="24"/>
          <w:szCs w:val="24"/>
        </w:rPr>
      </w:pPr>
      <w:r w:rsidRPr="00547A93">
        <w:rPr>
          <w:rFonts w:ascii="Times New Roman" w:hAnsi="Times New Roman" w:cs="Times New Roman"/>
          <w:b/>
          <w:bCs/>
          <w:sz w:val="24"/>
          <w:szCs w:val="24"/>
        </w:rPr>
        <w:t>Atbilde</w:t>
      </w:r>
      <w:r w:rsidRPr="00547A93">
        <w:rPr>
          <w:rFonts w:ascii="Times New Roman" w:hAnsi="Times New Roman" w:cs="Times New Roman"/>
          <w:sz w:val="24"/>
          <w:szCs w:val="24"/>
        </w:rPr>
        <w:t>:</w:t>
      </w:r>
    </w:p>
    <w:p w14:paraId="5B7EC1DB" w14:textId="7D8BF02F" w:rsidR="002F7925" w:rsidRPr="00547A93" w:rsidRDefault="00522932" w:rsidP="002F7925">
      <w:pPr>
        <w:pStyle w:val="Default"/>
        <w:ind w:firstLine="720"/>
        <w:jc w:val="both"/>
        <w:rPr>
          <w:rFonts w:ascii="Times New Roman" w:hAnsi="Times New Roman" w:cs="Times New Roman"/>
        </w:rPr>
      </w:pPr>
      <w:r w:rsidRPr="00547A93">
        <w:rPr>
          <w:rFonts w:ascii="Times New Roman" w:hAnsi="Times New Roman" w:cs="Times New Roman"/>
        </w:rPr>
        <w:t xml:space="preserve">Komisija skaidro, ka </w:t>
      </w:r>
      <w:r w:rsidR="002F7925" w:rsidRPr="00547A93">
        <w:rPr>
          <w:rFonts w:ascii="Times New Roman" w:hAnsi="Times New Roman" w:cs="Times New Roman"/>
        </w:rPr>
        <w:t>Būvprojekta minimālā sastāvā darbu daudzumu sarakstā ir iekļauti provizoriskie esošo inženiertīklu pārbūves darbi. Inženiertīklu turētāji izsniegs savas prasības nākamajā būvniecības ieceres dokumentācijas izstrādes stadijā, pēc tehnisko noteikumu pieprasīšanas. Pretendentam ir saistoši visi inženiertīklu turētāju un saistīto institūciju izsniegtie tehnisk</w:t>
      </w:r>
      <w:r w:rsidR="00A910CE" w:rsidRPr="00547A93">
        <w:rPr>
          <w:rFonts w:ascii="Times New Roman" w:hAnsi="Times New Roman" w:cs="Times New Roman"/>
        </w:rPr>
        <w:t>ie</w:t>
      </w:r>
      <w:r w:rsidR="002F7925" w:rsidRPr="00547A93">
        <w:rPr>
          <w:rFonts w:ascii="Times New Roman" w:hAnsi="Times New Roman" w:cs="Times New Roman"/>
        </w:rPr>
        <w:t xml:space="preserve"> noteikumi un normatīvās prasības.</w:t>
      </w:r>
    </w:p>
    <w:p w14:paraId="3CC90322" w14:textId="27E2819E" w:rsidR="00522932" w:rsidRPr="00547A93" w:rsidRDefault="00547A93" w:rsidP="00547A93">
      <w:pPr>
        <w:jc w:val="both"/>
        <w:rPr>
          <w:rFonts w:ascii="Times New Roman" w:hAnsi="Times New Roman" w:cs="Times New Roman"/>
          <w:sz w:val="24"/>
          <w:szCs w:val="24"/>
        </w:rPr>
      </w:pPr>
      <w:r w:rsidRPr="00547A93">
        <w:rPr>
          <w:rFonts w:ascii="Times New Roman" w:hAnsi="Times New Roman" w:cs="Times New Roman"/>
          <w:sz w:val="24"/>
          <w:szCs w:val="24"/>
        </w:rPr>
        <w:t>Pretendentam</w:t>
      </w:r>
      <w:r w:rsidR="002F7925" w:rsidRPr="00547A93">
        <w:rPr>
          <w:rFonts w:ascii="Times New Roman" w:hAnsi="Times New Roman" w:cs="Times New Roman"/>
          <w:sz w:val="24"/>
          <w:szCs w:val="24"/>
        </w:rPr>
        <w:t xml:space="preserve">, kā profesionālam darbu izpildītājam, ir jāparedz visi darbi, iekārtas </w:t>
      </w:r>
      <w:r w:rsidRPr="00547A93">
        <w:rPr>
          <w:rFonts w:ascii="Times New Roman" w:hAnsi="Times New Roman" w:cs="Times New Roman"/>
          <w:sz w:val="24"/>
          <w:szCs w:val="24"/>
        </w:rPr>
        <w:t>un</w:t>
      </w:r>
      <w:r w:rsidR="002F7925" w:rsidRPr="00547A93">
        <w:rPr>
          <w:rFonts w:ascii="Times New Roman" w:hAnsi="Times New Roman" w:cs="Times New Roman"/>
          <w:sz w:val="24"/>
          <w:szCs w:val="24"/>
        </w:rPr>
        <w:t xml:space="preserve"> materiāli, kuru izpildes vai pielietojuma nepieciešamība izriet no Objekta rakstura un/vai apjoma un kuru izpilde vai pielietojums var būt nepieciešams, lai kvalitatīvi izpildītu būvdarbus un nodotu Objektu ekspluatācijā, vienlaikus norādot, ka Projekta ietvaros nav plānots pārbūvēt vai izbūvēt infrastruktūru, kas nav tieši attiecināma uz Projekta mērķu sasniegšanu vai esošās un projektējamās infrastruktūras savietojamību. Līdz ar to pretendentam piedāvājumā jāietver risinājumi tādā apjomā, lai nodrošinātu Projekta izstrādi </w:t>
      </w:r>
      <w:r w:rsidR="002F7925" w:rsidRPr="00547A93">
        <w:rPr>
          <w:rFonts w:ascii="Times New Roman" w:hAnsi="Times New Roman" w:cs="Times New Roman"/>
          <w:sz w:val="24"/>
          <w:szCs w:val="24"/>
        </w:rPr>
        <w:lastRenderedPageBreak/>
        <w:t xml:space="preserve">atbilstoši normatīvo aktu prasībām, to </w:t>
      </w:r>
      <w:r w:rsidR="002F7925" w:rsidRPr="00547A93">
        <w:rPr>
          <w:rFonts w:ascii="Times New Roman" w:hAnsi="Times New Roman" w:cs="Times New Roman"/>
          <w:color w:val="000000"/>
          <w:kern w:val="0"/>
          <w:sz w:val="24"/>
          <w:szCs w:val="24"/>
        </w:rPr>
        <w:t>saskaņošanu</w:t>
      </w:r>
      <w:r w:rsidR="002F7925" w:rsidRPr="00547A93">
        <w:rPr>
          <w:rFonts w:ascii="Times New Roman" w:hAnsi="Times New Roman" w:cs="Times New Roman"/>
          <w:sz w:val="24"/>
          <w:szCs w:val="24"/>
        </w:rPr>
        <w:t>, izbūvi, nodošanu ekspluatācijā un Līguma mērķa sasniegšanu</w:t>
      </w:r>
      <w:r w:rsidRPr="00547A93">
        <w:rPr>
          <w:rFonts w:ascii="Times New Roman" w:hAnsi="Times New Roman" w:cs="Times New Roman"/>
          <w:sz w:val="24"/>
          <w:szCs w:val="24"/>
        </w:rPr>
        <w:t>.</w:t>
      </w:r>
    </w:p>
    <w:p w14:paraId="2B56F6E5" w14:textId="77777777" w:rsidR="00547A93" w:rsidRPr="00547A93" w:rsidRDefault="00547A93" w:rsidP="002F7925">
      <w:pPr>
        <w:pStyle w:val="Default"/>
        <w:ind w:firstLine="720"/>
        <w:jc w:val="both"/>
        <w:rPr>
          <w:rFonts w:ascii="Times New Roman" w:hAnsi="Times New Roman" w:cs="Times New Roman"/>
        </w:rPr>
      </w:pPr>
    </w:p>
    <w:p w14:paraId="44856DDD" w14:textId="77777777" w:rsidR="002F7925" w:rsidRPr="00547A93" w:rsidRDefault="002F7925" w:rsidP="002F7925">
      <w:pPr>
        <w:pStyle w:val="Default"/>
        <w:ind w:firstLine="720"/>
        <w:jc w:val="both"/>
        <w:rPr>
          <w:rFonts w:ascii="Times New Roman" w:eastAsia="Times New Roman" w:hAnsi="Times New Roman" w:cs="Times New Roman"/>
        </w:rPr>
      </w:pPr>
    </w:p>
    <w:p w14:paraId="50506F2E" w14:textId="51591544" w:rsidR="00522932" w:rsidRPr="00547A93" w:rsidRDefault="00522932" w:rsidP="00522932">
      <w:pPr>
        <w:jc w:val="both"/>
        <w:rPr>
          <w:rFonts w:ascii="Times New Roman" w:hAnsi="Times New Roman" w:cs="Times New Roman"/>
          <w:sz w:val="24"/>
          <w:szCs w:val="24"/>
        </w:rPr>
      </w:pPr>
      <w:r w:rsidRPr="00547A93">
        <w:rPr>
          <w:rFonts w:ascii="Times New Roman" w:hAnsi="Times New Roman" w:cs="Times New Roman"/>
          <w:b/>
          <w:bCs/>
          <w:sz w:val="24"/>
          <w:szCs w:val="24"/>
        </w:rPr>
        <w:t>2.jautājums</w:t>
      </w:r>
      <w:r w:rsidRPr="00547A93">
        <w:rPr>
          <w:rFonts w:ascii="Times New Roman" w:hAnsi="Times New Roman" w:cs="Times New Roman"/>
          <w:sz w:val="24"/>
          <w:szCs w:val="24"/>
        </w:rPr>
        <w:t>:</w:t>
      </w:r>
    </w:p>
    <w:p w14:paraId="03854607" w14:textId="77777777" w:rsidR="00522932" w:rsidRPr="00547A93" w:rsidRDefault="00522932" w:rsidP="00522932">
      <w:pPr>
        <w:spacing w:after="0" w:line="240" w:lineRule="auto"/>
        <w:ind w:left="360"/>
        <w:rPr>
          <w:rFonts w:ascii="Times New Roman" w:eastAsia="Calibri" w:hAnsi="Times New Roman" w:cs="Times New Roman"/>
          <w:b/>
          <w:bCs/>
          <w:sz w:val="24"/>
          <w:szCs w:val="24"/>
        </w:rPr>
      </w:pPr>
      <w:r w:rsidRPr="00547A93">
        <w:rPr>
          <w:rFonts w:ascii="Times New Roman" w:eastAsia="Calibri" w:hAnsi="Times New Roman" w:cs="Times New Roman"/>
          <w:b/>
          <w:bCs/>
          <w:sz w:val="24"/>
          <w:szCs w:val="24"/>
        </w:rPr>
        <w:t>Betona virsmu pārklāšana ar aizsargpārklājumu</w:t>
      </w:r>
    </w:p>
    <w:p w14:paraId="2ADC307E"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sz w:val="24"/>
          <w:szCs w:val="24"/>
        </w:rPr>
        <w:t>Darbu daudzumu saraksta poz. 251 “Betona virsmu pārklāšana ar aizsargpārklājumu” uzrādītais apjoms Labā krasta estakādei atbilst aptuveni viena laiduma visu siju redzamajam laukumam.</w:t>
      </w:r>
    </w:p>
    <w:p w14:paraId="5C3D2338" w14:textId="77777777" w:rsidR="00522932" w:rsidRPr="00547A93" w:rsidRDefault="00522932" w:rsidP="00522932">
      <w:pPr>
        <w:rPr>
          <w:rFonts w:ascii="Times New Roman" w:eastAsia="Calibri" w:hAnsi="Times New Roman" w:cs="Times New Roman"/>
          <w:sz w:val="24"/>
          <w:szCs w:val="24"/>
          <w:u w:val="single"/>
        </w:rPr>
      </w:pPr>
      <w:r w:rsidRPr="00547A93">
        <w:rPr>
          <w:rFonts w:ascii="Times New Roman" w:eastAsia="Calibri" w:hAnsi="Times New Roman" w:cs="Times New Roman"/>
          <w:sz w:val="24"/>
          <w:szCs w:val="24"/>
          <w:u w:val="single"/>
        </w:rPr>
        <w:t>Lūdzam apstiprināt, ka DDS 251.pozīcija “Betona virsmu pārklāšana ar aizsargpārklājumu” attiecināma uz Labā krasta estakādes laidumu virs Pils laukuma/Muitas ielas, tas ir, laidumu starp balstiem Nr.7 un Nr.8.</w:t>
      </w:r>
    </w:p>
    <w:p w14:paraId="780CF88C" w14:textId="77777777" w:rsidR="00522932" w:rsidRPr="00547A93" w:rsidRDefault="00522932" w:rsidP="00522932">
      <w:pPr>
        <w:spacing w:after="0" w:line="240" w:lineRule="auto"/>
        <w:jc w:val="both"/>
        <w:rPr>
          <w:rFonts w:ascii="Times New Roman" w:hAnsi="Times New Roman" w:cs="Times New Roman"/>
          <w:sz w:val="24"/>
          <w:szCs w:val="24"/>
        </w:rPr>
      </w:pPr>
      <w:r w:rsidRPr="00547A93">
        <w:rPr>
          <w:rFonts w:ascii="Times New Roman" w:hAnsi="Times New Roman" w:cs="Times New Roman"/>
          <w:b/>
          <w:bCs/>
          <w:sz w:val="24"/>
          <w:szCs w:val="24"/>
        </w:rPr>
        <w:t>Atbilde</w:t>
      </w:r>
      <w:r w:rsidRPr="00547A93">
        <w:rPr>
          <w:rFonts w:ascii="Times New Roman" w:hAnsi="Times New Roman" w:cs="Times New Roman"/>
          <w:sz w:val="24"/>
          <w:szCs w:val="24"/>
        </w:rPr>
        <w:t>:</w:t>
      </w:r>
    </w:p>
    <w:p w14:paraId="4A7BE834" w14:textId="524ACE63" w:rsidR="00522932" w:rsidRPr="00547A93" w:rsidRDefault="001C6E23" w:rsidP="00547A93">
      <w:pPr>
        <w:jc w:val="both"/>
        <w:rPr>
          <w:rFonts w:ascii="Times New Roman" w:eastAsia="Calibri" w:hAnsi="Times New Roman" w:cs="Times New Roman"/>
          <w:sz w:val="24"/>
          <w:szCs w:val="24"/>
        </w:rPr>
      </w:pPr>
      <w:r w:rsidRPr="00547A93">
        <w:rPr>
          <w:rFonts w:ascii="Times New Roman" w:hAnsi="Times New Roman" w:cs="Times New Roman"/>
          <w:color w:val="000000"/>
          <w:kern w:val="0"/>
          <w:sz w:val="24"/>
          <w:szCs w:val="24"/>
        </w:rPr>
        <w:t xml:space="preserve">Komisija skaidro, ka </w:t>
      </w:r>
      <w:r w:rsidR="00547A93">
        <w:rPr>
          <w:rFonts w:ascii="Times New Roman" w:hAnsi="Times New Roman" w:cs="Times New Roman"/>
          <w:color w:val="000000"/>
          <w:kern w:val="0"/>
          <w:sz w:val="24"/>
          <w:szCs w:val="24"/>
        </w:rPr>
        <w:t xml:space="preserve">minētajā </w:t>
      </w:r>
      <w:r w:rsidRPr="00547A93">
        <w:rPr>
          <w:rFonts w:ascii="Times New Roman" w:hAnsi="Times New Roman" w:cs="Times New Roman"/>
          <w:color w:val="000000"/>
          <w:kern w:val="0"/>
          <w:sz w:val="24"/>
          <w:szCs w:val="24"/>
        </w:rPr>
        <w:t>pozīcijā ir iekļaujama abu pušu malējo siju ārējās virsmas pārklāšana ar aizsargpārklājumu un Laiduma Nr.7-8 visu siju pārklāšana ar aizsargpārklājumu darbi un izmaksas.</w:t>
      </w:r>
    </w:p>
    <w:p w14:paraId="067C12AA" w14:textId="77777777" w:rsidR="00547A93" w:rsidRDefault="00547A93" w:rsidP="00522932">
      <w:pPr>
        <w:jc w:val="both"/>
        <w:rPr>
          <w:rFonts w:ascii="Times New Roman" w:hAnsi="Times New Roman" w:cs="Times New Roman"/>
          <w:b/>
          <w:bCs/>
          <w:sz w:val="24"/>
          <w:szCs w:val="24"/>
        </w:rPr>
      </w:pPr>
    </w:p>
    <w:p w14:paraId="0E87F679" w14:textId="6FDCD8F5" w:rsidR="00522932" w:rsidRPr="00547A93" w:rsidRDefault="00522932" w:rsidP="00522932">
      <w:pPr>
        <w:jc w:val="both"/>
        <w:rPr>
          <w:rFonts w:ascii="Times New Roman" w:hAnsi="Times New Roman" w:cs="Times New Roman"/>
          <w:sz w:val="24"/>
          <w:szCs w:val="24"/>
        </w:rPr>
      </w:pPr>
      <w:r w:rsidRPr="00547A93">
        <w:rPr>
          <w:rFonts w:ascii="Times New Roman" w:hAnsi="Times New Roman" w:cs="Times New Roman"/>
          <w:b/>
          <w:bCs/>
          <w:sz w:val="24"/>
          <w:szCs w:val="24"/>
        </w:rPr>
        <w:t>3.jautājums</w:t>
      </w:r>
      <w:r w:rsidRPr="00547A93">
        <w:rPr>
          <w:rFonts w:ascii="Times New Roman" w:hAnsi="Times New Roman" w:cs="Times New Roman"/>
          <w:sz w:val="24"/>
          <w:szCs w:val="24"/>
        </w:rPr>
        <w:t>:</w:t>
      </w:r>
    </w:p>
    <w:p w14:paraId="47636064" w14:textId="77777777" w:rsidR="00522932" w:rsidRPr="00547A93" w:rsidRDefault="00522932" w:rsidP="00522932">
      <w:pPr>
        <w:spacing w:after="0" w:line="240" w:lineRule="auto"/>
        <w:ind w:left="360"/>
        <w:rPr>
          <w:rFonts w:ascii="Times New Roman" w:eastAsia="Calibri" w:hAnsi="Times New Roman" w:cs="Times New Roman"/>
          <w:b/>
          <w:bCs/>
          <w:sz w:val="24"/>
          <w:szCs w:val="24"/>
        </w:rPr>
      </w:pPr>
      <w:r w:rsidRPr="00547A93">
        <w:rPr>
          <w:rFonts w:ascii="Times New Roman" w:eastAsia="Calibri" w:hAnsi="Times New Roman" w:cs="Times New Roman"/>
          <w:b/>
          <w:bCs/>
          <w:sz w:val="24"/>
          <w:szCs w:val="24"/>
        </w:rPr>
        <w:t>Anti-grafiti pārklājums</w:t>
      </w:r>
    </w:p>
    <w:p w14:paraId="4A75A6F5"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sz w:val="24"/>
          <w:szCs w:val="24"/>
        </w:rPr>
        <w:t>Darbu daudzumu sarakstā un MBP risinājumos netiek atsevišķi izdalīts betona virsmu anti-grafiti pārklājums. Tomēr esošā situācija norāda uz šādas pozīcijas nepieciešamību balstiem Nr. 1, Nr.4 un Nr. 5 (no 11.novembra krastmalas puses), sastādot kopējo apjomu aptuveni 700m2).</w:t>
      </w:r>
    </w:p>
    <w:p w14:paraId="1E92DB8C" w14:textId="77777777" w:rsidR="00522932" w:rsidRPr="00547A93" w:rsidRDefault="00522932" w:rsidP="00522932">
      <w:pPr>
        <w:rPr>
          <w:rFonts w:ascii="Times New Roman" w:eastAsia="Calibri" w:hAnsi="Times New Roman" w:cs="Times New Roman"/>
          <w:sz w:val="24"/>
          <w:szCs w:val="24"/>
          <w:u w:val="single"/>
        </w:rPr>
      </w:pPr>
      <w:r w:rsidRPr="00547A93">
        <w:rPr>
          <w:rFonts w:ascii="Times New Roman" w:eastAsia="Calibri" w:hAnsi="Times New Roman" w:cs="Times New Roman"/>
          <w:sz w:val="24"/>
          <w:szCs w:val="24"/>
          <w:u w:val="single"/>
        </w:rPr>
        <w:t>Lūdzam apstiprināt, ka balstiem Nr. 1, Nr.4 un Nr. 5 (no 11.novembra krastmalas puses) nepieciešamā anti-grafiti pārklājuma izmaksas iekļaujamas citās izmaksu pozīcijās.</w:t>
      </w:r>
    </w:p>
    <w:p w14:paraId="49136BF6" w14:textId="77777777" w:rsidR="00522932" w:rsidRPr="00547A93" w:rsidRDefault="00522932" w:rsidP="00522932">
      <w:pPr>
        <w:spacing w:after="0" w:line="240" w:lineRule="auto"/>
        <w:jc w:val="both"/>
        <w:rPr>
          <w:rFonts w:ascii="Times New Roman" w:hAnsi="Times New Roman" w:cs="Times New Roman"/>
          <w:sz w:val="24"/>
          <w:szCs w:val="24"/>
        </w:rPr>
      </w:pPr>
      <w:r w:rsidRPr="00547A93">
        <w:rPr>
          <w:rFonts w:ascii="Times New Roman" w:hAnsi="Times New Roman" w:cs="Times New Roman"/>
          <w:b/>
          <w:bCs/>
          <w:sz w:val="24"/>
          <w:szCs w:val="24"/>
        </w:rPr>
        <w:t>Atbilde</w:t>
      </w:r>
      <w:r w:rsidRPr="00547A93">
        <w:rPr>
          <w:rFonts w:ascii="Times New Roman" w:hAnsi="Times New Roman" w:cs="Times New Roman"/>
          <w:sz w:val="24"/>
          <w:szCs w:val="24"/>
        </w:rPr>
        <w:t>:</w:t>
      </w:r>
    </w:p>
    <w:p w14:paraId="0921AA97" w14:textId="1308E10F" w:rsidR="00522932" w:rsidRPr="00547A93" w:rsidRDefault="00522932" w:rsidP="00522932">
      <w:pPr>
        <w:pStyle w:val="Default"/>
        <w:ind w:firstLine="720"/>
        <w:jc w:val="both"/>
        <w:rPr>
          <w:rFonts w:ascii="Times New Roman" w:eastAsia="Times New Roman" w:hAnsi="Times New Roman" w:cs="Times New Roman"/>
        </w:rPr>
      </w:pPr>
      <w:r w:rsidRPr="00547A93">
        <w:rPr>
          <w:rFonts w:ascii="Times New Roman" w:hAnsi="Times New Roman" w:cs="Times New Roman"/>
        </w:rPr>
        <w:t xml:space="preserve">Komisija skaidro, ka </w:t>
      </w:r>
      <w:r w:rsidR="00E1225A" w:rsidRPr="00547A93">
        <w:rPr>
          <w:rFonts w:ascii="Times New Roman" w:hAnsi="Times New Roman" w:cs="Times New Roman"/>
        </w:rPr>
        <w:t>anti</w:t>
      </w:r>
      <w:r w:rsidR="00AC35D6" w:rsidRPr="00547A93">
        <w:rPr>
          <w:rFonts w:ascii="Times New Roman" w:hAnsi="Times New Roman" w:cs="Times New Roman"/>
        </w:rPr>
        <w:t>-</w:t>
      </w:r>
      <w:r w:rsidR="00E1225A" w:rsidRPr="00547A93">
        <w:rPr>
          <w:rFonts w:ascii="Times New Roman" w:hAnsi="Times New Roman" w:cs="Times New Roman"/>
        </w:rPr>
        <w:t>grafiti pārklājumu nav nepieciešams paredzēt.</w:t>
      </w:r>
    </w:p>
    <w:p w14:paraId="6B9A1DBF" w14:textId="77777777" w:rsidR="00522932" w:rsidRPr="00547A93" w:rsidRDefault="00522932" w:rsidP="00522932">
      <w:pPr>
        <w:rPr>
          <w:rFonts w:ascii="Times New Roman" w:eastAsia="Calibri" w:hAnsi="Times New Roman" w:cs="Times New Roman"/>
          <w:sz w:val="24"/>
          <w:szCs w:val="24"/>
        </w:rPr>
      </w:pPr>
    </w:p>
    <w:p w14:paraId="12741FC0" w14:textId="77777777" w:rsidR="00522932" w:rsidRPr="00547A93" w:rsidRDefault="00522932" w:rsidP="00522932">
      <w:pPr>
        <w:rPr>
          <w:rFonts w:ascii="Times New Roman" w:eastAsia="Calibri" w:hAnsi="Times New Roman" w:cs="Times New Roman"/>
          <w:sz w:val="24"/>
          <w:szCs w:val="24"/>
        </w:rPr>
      </w:pPr>
    </w:p>
    <w:p w14:paraId="0BF2C9DE" w14:textId="63B67083" w:rsidR="00522932" w:rsidRPr="00547A93" w:rsidRDefault="00522932" w:rsidP="00522932">
      <w:pPr>
        <w:jc w:val="both"/>
        <w:rPr>
          <w:rFonts w:ascii="Times New Roman" w:hAnsi="Times New Roman" w:cs="Times New Roman"/>
          <w:sz w:val="24"/>
          <w:szCs w:val="24"/>
        </w:rPr>
      </w:pPr>
      <w:r w:rsidRPr="00547A93">
        <w:rPr>
          <w:rFonts w:ascii="Times New Roman" w:hAnsi="Times New Roman" w:cs="Times New Roman"/>
          <w:b/>
          <w:bCs/>
          <w:sz w:val="24"/>
          <w:szCs w:val="24"/>
        </w:rPr>
        <w:t>4.jautājums</w:t>
      </w:r>
      <w:r w:rsidRPr="00547A93">
        <w:rPr>
          <w:rFonts w:ascii="Times New Roman" w:hAnsi="Times New Roman" w:cs="Times New Roman"/>
          <w:sz w:val="24"/>
          <w:szCs w:val="24"/>
        </w:rPr>
        <w:t>:</w:t>
      </w:r>
    </w:p>
    <w:p w14:paraId="4CB8C947" w14:textId="77777777" w:rsidR="00522932" w:rsidRPr="00547A93" w:rsidRDefault="00522932" w:rsidP="00522932">
      <w:pPr>
        <w:spacing w:after="0" w:line="240" w:lineRule="auto"/>
        <w:ind w:left="360"/>
        <w:rPr>
          <w:rFonts w:ascii="Times New Roman" w:eastAsia="Calibri" w:hAnsi="Times New Roman" w:cs="Times New Roman"/>
          <w:b/>
          <w:bCs/>
          <w:sz w:val="24"/>
          <w:szCs w:val="24"/>
        </w:rPr>
      </w:pPr>
      <w:r w:rsidRPr="00547A93">
        <w:rPr>
          <w:rFonts w:ascii="Times New Roman" w:eastAsia="Calibri" w:hAnsi="Times New Roman" w:cs="Times New Roman"/>
          <w:b/>
          <w:bCs/>
          <w:sz w:val="24"/>
          <w:szCs w:val="24"/>
        </w:rPr>
        <w:t>Tilta monitoringa sistēmas uzstādīšana I</w:t>
      </w:r>
    </w:p>
    <w:p w14:paraId="680E8CE6"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sz w:val="24"/>
          <w:szCs w:val="24"/>
        </w:rPr>
        <w:t>MBP specifikācijās S5 “Tērauda darbi” 6.2 punktā “Monitorings” sniegtas iespējamās prasības “Uzturēšanas kabeļu uzraudzības aprīkojumam”.</w:t>
      </w:r>
    </w:p>
    <w:p w14:paraId="114037D0" w14:textId="77777777" w:rsidR="00522932" w:rsidRPr="00547A93" w:rsidRDefault="00522932" w:rsidP="00522932">
      <w:pPr>
        <w:rPr>
          <w:rFonts w:ascii="Times New Roman" w:eastAsia="Calibri" w:hAnsi="Times New Roman" w:cs="Times New Roman"/>
          <w:sz w:val="24"/>
          <w:szCs w:val="24"/>
          <w:u w:val="single"/>
        </w:rPr>
      </w:pPr>
      <w:r w:rsidRPr="00547A93">
        <w:rPr>
          <w:rFonts w:ascii="Times New Roman" w:eastAsia="Calibri" w:hAnsi="Times New Roman" w:cs="Times New Roman"/>
          <w:sz w:val="24"/>
          <w:szCs w:val="24"/>
          <w:u w:val="single"/>
        </w:rPr>
        <w:t>Lūdzam skaidrot, kas domāt ar vārdiem “uzturēšanas kabeļi”.</w:t>
      </w:r>
    </w:p>
    <w:p w14:paraId="3FB4C990" w14:textId="77777777" w:rsidR="00522932" w:rsidRPr="00547A93" w:rsidRDefault="00522932" w:rsidP="00522932">
      <w:pPr>
        <w:spacing w:after="0" w:line="240" w:lineRule="auto"/>
        <w:jc w:val="both"/>
        <w:rPr>
          <w:rFonts w:ascii="Times New Roman" w:hAnsi="Times New Roman" w:cs="Times New Roman"/>
          <w:sz w:val="24"/>
          <w:szCs w:val="24"/>
        </w:rPr>
      </w:pPr>
      <w:r w:rsidRPr="00547A93">
        <w:rPr>
          <w:rFonts w:ascii="Times New Roman" w:hAnsi="Times New Roman" w:cs="Times New Roman"/>
          <w:b/>
          <w:bCs/>
          <w:sz w:val="24"/>
          <w:szCs w:val="24"/>
        </w:rPr>
        <w:t>Atbilde</w:t>
      </w:r>
      <w:r w:rsidRPr="00547A93">
        <w:rPr>
          <w:rFonts w:ascii="Times New Roman" w:hAnsi="Times New Roman" w:cs="Times New Roman"/>
          <w:sz w:val="24"/>
          <w:szCs w:val="24"/>
        </w:rPr>
        <w:t>:</w:t>
      </w:r>
    </w:p>
    <w:p w14:paraId="15A5763A" w14:textId="1ADC8D39" w:rsidR="00522932" w:rsidRPr="00547A93" w:rsidRDefault="00522932" w:rsidP="00522932">
      <w:pPr>
        <w:pStyle w:val="Default"/>
        <w:ind w:firstLine="720"/>
        <w:jc w:val="both"/>
        <w:rPr>
          <w:rFonts w:ascii="Times New Roman" w:eastAsia="Times New Roman" w:hAnsi="Times New Roman" w:cs="Times New Roman"/>
        </w:rPr>
      </w:pPr>
      <w:r w:rsidRPr="00547A93">
        <w:rPr>
          <w:rFonts w:ascii="Times New Roman" w:hAnsi="Times New Roman" w:cs="Times New Roman"/>
        </w:rPr>
        <w:t xml:space="preserve">Komisija skaidro, ka </w:t>
      </w:r>
      <w:r w:rsidR="002F7925" w:rsidRPr="00547A93">
        <w:rPr>
          <w:rFonts w:ascii="Times New Roman" w:hAnsi="Times New Roman" w:cs="Times New Roman"/>
        </w:rPr>
        <w:t>Specifikāciju S5 “Tērauda darbi” 6.2 punkta “Monitorings” teikuma “Uzturēšanas kabeļu uzraudzības aprīkojums var ietvert” precīzāks interpretējums ir</w:t>
      </w:r>
      <w:r w:rsidR="00547A93">
        <w:rPr>
          <w:rFonts w:ascii="Times New Roman" w:hAnsi="Times New Roman" w:cs="Times New Roman"/>
        </w:rPr>
        <w:t>:</w:t>
      </w:r>
      <w:r w:rsidR="002F7925" w:rsidRPr="00547A93">
        <w:rPr>
          <w:rFonts w:ascii="Times New Roman" w:hAnsi="Times New Roman" w:cs="Times New Roman"/>
        </w:rPr>
        <w:t xml:space="preserve"> “Kabeļu monitoringa iekārtas var ietvert”. Līdz ar to vārdu savienojums “uzturēšanas kabeļi” ir uzskatāms par lieku un neinterpretējamu apzīmējumu šajā punktā.</w:t>
      </w:r>
    </w:p>
    <w:p w14:paraId="07B54B8B" w14:textId="77777777" w:rsidR="00522932" w:rsidRPr="00547A93" w:rsidRDefault="00522932" w:rsidP="00522932">
      <w:pPr>
        <w:rPr>
          <w:rFonts w:ascii="Times New Roman" w:eastAsia="Calibri" w:hAnsi="Times New Roman" w:cs="Times New Roman"/>
          <w:sz w:val="24"/>
          <w:szCs w:val="24"/>
        </w:rPr>
      </w:pPr>
    </w:p>
    <w:p w14:paraId="511FB703" w14:textId="77777777" w:rsidR="00522932" w:rsidRPr="00547A93" w:rsidRDefault="00522932" w:rsidP="00522932">
      <w:pPr>
        <w:rPr>
          <w:rFonts w:ascii="Times New Roman" w:eastAsia="Calibri" w:hAnsi="Times New Roman" w:cs="Times New Roman"/>
          <w:sz w:val="24"/>
          <w:szCs w:val="24"/>
        </w:rPr>
      </w:pPr>
    </w:p>
    <w:p w14:paraId="48BCCBAD" w14:textId="070E5A75" w:rsidR="00522932" w:rsidRPr="00547A93" w:rsidRDefault="00522932" w:rsidP="00522932">
      <w:pPr>
        <w:jc w:val="both"/>
        <w:rPr>
          <w:rFonts w:ascii="Times New Roman" w:hAnsi="Times New Roman" w:cs="Times New Roman"/>
          <w:sz w:val="24"/>
          <w:szCs w:val="24"/>
        </w:rPr>
      </w:pPr>
      <w:r w:rsidRPr="00547A93">
        <w:rPr>
          <w:rFonts w:ascii="Times New Roman" w:hAnsi="Times New Roman" w:cs="Times New Roman"/>
          <w:b/>
          <w:bCs/>
          <w:sz w:val="24"/>
          <w:szCs w:val="24"/>
        </w:rPr>
        <w:t>5.jautājums</w:t>
      </w:r>
      <w:r w:rsidRPr="00547A93">
        <w:rPr>
          <w:rFonts w:ascii="Times New Roman" w:hAnsi="Times New Roman" w:cs="Times New Roman"/>
          <w:sz w:val="24"/>
          <w:szCs w:val="24"/>
        </w:rPr>
        <w:t>:</w:t>
      </w:r>
    </w:p>
    <w:p w14:paraId="7A5240F9" w14:textId="77777777" w:rsidR="00522932" w:rsidRPr="00547A93" w:rsidRDefault="00522932" w:rsidP="00522932">
      <w:pPr>
        <w:spacing w:after="0" w:line="240" w:lineRule="auto"/>
        <w:ind w:left="360"/>
        <w:rPr>
          <w:rFonts w:ascii="Times New Roman" w:eastAsia="Calibri" w:hAnsi="Times New Roman" w:cs="Times New Roman"/>
          <w:b/>
          <w:bCs/>
          <w:sz w:val="24"/>
          <w:szCs w:val="24"/>
        </w:rPr>
      </w:pPr>
      <w:r w:rsidRPr="00547A93">
        <w:rPr>
          <w:rFonts w:ascii="Times New Roman" w:eastAsia="Calibri" w:hAnsi="Times New Roman" w:cs="Times New Roman"/>
          <w:b/>
          <w:bCs/>
          <w:sz w:val="24"/>
          <w:szCs w:val="24"/>
        </w:rPr>
        <w:t>Tilta monitoringa sistēmas uzstādīšana II</w:t>
      </w:r>
    </w:p>
    <w:p w14:paraId="409392C2"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sz w:val="24"/>
          <w:szCs w:val="24"/>
        </w:rPr>
        <w:lastRenderedPageBreak/>
        <w:t>Attēlā sniegts vanšu tilta monitoringa iekārtu saraksts kādam konkrētam objektam.</w:t>
      </w:r>
    </w:p>
    <w:p w14:paraId="7871F184" w14:textId="77777777" w:rsidR="00522932" w:rsidRPr="00547A93" w:rsidRDefault="00522932" w:rsidP="00522932">
      <w:pPr>
        <w:rPr>
          <w:rFonts w:ascii="Times New Roman" w:eastAsia="Calibri" w:hAnsi="Times New Roman" w:cs="Times New Roman"/>
          <w:sz w:val="24"/>
          <w:szCs w:val="24"/>
          <w:u w:val="single"/>
        </w:rPr>
      </w:pPr>
      <w:r w:rsidRPr="00547A93">
        <w:rPr>
          <w:rFonts w:ascii="Times New Roman" w:eastAsia="Calibri" w:hAnsi="Times New Roman" w:cs="Times New Roman"/>
          <w:sz w:val="24"/>
          <w:szCs w:val="24"/>
          <w:u w:val="single"/>
        </w:rPr>
        <w:t>Lūdzam norādīt, kuras no iekārtām nepieciešams paredzēt uzstādīt iepirkumā iekļautajam vanšu tiltam? Papildus lūdzam sniegt informāciju par datu centru, kurā paredzēts apkopot un apstrādāt monitoringa datus.</w:t>
      </w:r>
    </w:p>
    <w:p w14:paraId="464B5B60" w14:textId="77777777" w:rsidR="00522932" w:rsidRPr="00547A93" w:rsidRDefault="00522932" w:rsidP="00522932">
      <w:pPr>
        <w:rPr>
          <w:rFonts w:ascii="Times New Roman" w:eastAsia="Calibri" w:hAnsi="Times New Roman" w:cs="Times New Roman"/>
          <w:sz w:val="24"/>
          <w:szCs w:val="24"/>
        </w:rPr>
      </w:pPr>
      <w:r w:rsidRPr="00547A93">
        <w:rPr>
          <w:rFonts w:ascii="Times New Roman" w:eastAsia="Calibri" w:hAnsi="Times New Roman" w:cs="Times New Roman"/>
          <w:noProof/>
          <w:sz w:val="24"/>
          <w:szCs w:val="24"/>
        </w:rPr>
        <w:drawing>
          <wp:inline distT="0" distB="0" distL="0" distR="0" wp14:anchorId="10B1578A" wp14:editId="7E781076">
            <wp:extent cx="5419725" cy="4114800"/>
            <wp:effectExtent l="0" t="0" r="9525" b="0"/>
            <wp:docPr id="981279635" name="Picture 5" descr="Attēls, kurā ir teksts, kvīts, ekrānuzņēmums, cipar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s, kurā ir teksts, kvīts, ekrānuzņēmums, cipars&#10;&#10;Mākslīgā intelekta ģenerēts saturs var būt nepareiz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9725" cy="4114800"/>
                    </a:xfrm>
                    <a:prstGeom prst="rect">
                      <a:avLst/>
                    </a:prstGeom>
                    <a:noFill/>
                    <a:ln>
                      <a:noFill/>
                    </a:ln>
                  </pic:spPr>
                </pic:pic>
              </a:graphicData>
            </a:graphic>
          </wp:inline>
        </w:drawing>
      </w:r>
    </w:p>
    <w:p w14:paraId="63912F68" w14:textId="77777777" w:rsidR="00522932" w:rsidRPr="00547A93" w:rsidRDefault="00522932" w:rsidP="00522932">
      <w:pPr>
        <w:spacing w:after="0" w:line="240" w:lineRule="auto"/>
        <w:jc w:val="both"/>
        <w:rPr>
          <w:rFonts w:ascii="Times New Roman" w:hAnsi="Times New Roman" w:cs="Times New Roman"/>
          <w:sz w:val="24"/>
          <w:szCs w:val="24"/>
        </w:rPr>
      </w:pPr>
      <w:r w:rsidRPr="00547A93">
        <w:rPr>
          <w:rFonts w:ascii="Times New Roman" w:hAnsi="Times New Roman" w:cs="Times New Roman"/>
          <w:b/>
          <w:bCs/>
          <w:sz w:val="24"/>
          <w:szCs w:val="24"/>
        </w:rPr>
        <w:t>Atbilde</w:t>
      </w:r>
      <w:r w:rsidRPr="00547A93">
        <w:rPr>
          <w:rFonts w:ascii="Times New Roman" w:hAnsi="Times New Roman" w:cs="Times New Roman"/>
          <w:sz w:val="24"/>
          <w:szCs w:val="24"/>
        </w:rPr>
        <w:t>:</w:t>
      </w:r>
    </w:p>
    <w:p w14:paraId="0B1225A1" w14:textId="24C6730B" w:rsidR="002F7925" w:rsidRPr="00547A93" w:rsidRDefault="00522932" w:rsidP="002F7925">
      <w:pPr>
        <w:pStyle w:val="Default"/>
        <w:ind w:firstLine="720"/>
        <w:jc w:val="both"/>
        <w:rPr>
          <w:rFonts w:ascii="Times New Roman" w:hAnsi="Times New Roman" w:cs="Times New Roman"/>
        </w:rPr>
      </w:pPr>
      <w:r w:rsidRPr="00547A93">
        <w:rPr>
          <w:rFonts w:ascii="Times New Roman" w:hAnsi="Times New Roman" w:cs="Times New Roman"/>
        </w:rPr>
        <w:t xml:space="preserve">Komisija skaidro, ka </w:t>
      </w:r>
      <w:r w:rsidR="002F7925" w:rsidRPr="00547A93">
        <w:rPr>
          <w:rFonts w:ascii="Times New Roman" w:hAnsi="Times New Roman" w:cs="Times New Roman"/>
        </w:rPr>
        <w:t>Monitoringa sistēmas risinājumus Vanšu tilta ieceres dokumentācijas izstrādes tālākajā stadijā ir nepieciešams izvērtēt katra sensora lietderību. Kā minimums vajag paredzēt šādu sensoru uzstādīšanu:</w:t>
      </w:r>
    </w:p>
    <w:p w14:paraId="523A39CD" w14:textId="64C68D31"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Meteostacija: 1 gab. pilona augšdaļā.</w:t>
      </w:r>
    </w:p>
    <w:p w14:paraId="02CC6C1A" w14:textId="6450A1E1"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GPS (xy): 1 sensori pilona augšdaļā un GPS (xyz): 1 sensors centrālajā laiduma vidus.</w:t>
      </w:r>
    </w:p>
    <w:p w14:paraId="1A68A360" w14:textId="4C079A4B"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GPS bāzes stacija: 1 gab. stabilā vietā uz krasta.</w:t>
      </w:r>
    </w:p>
    <w:p w14:paraId="1440F586" w14:textId="17D65AA3"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Inklinometri: Atbilstoši monitoringa mērķiem, 1 gab. centrālajā laidumā, lai sekotu laiduma deformācijām.</w:t>
      </w:r>
    </w:p>
    <w:p w14:paraId="7B7E4A56" w14:textId="6FE04777"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2D akselerometri: 1 gab. pilona augšdaļā, 2 gab. centrālā laiduma raksturīgākajās vietās un 2 gab. centrālā laiduma vantīm (piemēram, garākajās un īsākajās vantīs), ja nepieciešams monitorēt vibrācijas un dinamiskās slodzes.</w:t>
      </w:r>
    </w:p>
    <w:p w14:paraId="33CDBA7D" w14:textId="5BA93265"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3D seismiskais akselerometrs: 1 gab., ja nepieciešama vispārēja seismiskā uzraudzība (atkarībā no riska analīzes).</w:t>
      </w:r>
    </w:p>
    <w:p w14:paraId="7B1EED10" w14:textId="1D972974"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Ekstenzometri: 2 gab. pie deformācijas šuves abās šķērsgriezuma pusēs.</w:t>
      </w:r>
    </w:p>
    <w:p w14:paraId="0DBF7A8C" w14:textId="744A0B86"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Papildus ekstenzometriem tilta monitoringa sistēmā vajag iekļaut arī vismaz 8 gab. parastos tenzometrus šādās vietās: Uz galvenajām laidumu metāla konstrukcijām, Vantīs un Iespīlējuma mezglos.</w:t>
      </w:r>
    </w:p>
    <w:p w14:paraId="23ACBF43" w14:textId="65FBD678" w:rsidR="002F7925" w:rsidRPr="00547A93" w:rsidRDefault="002F7925" w:rsidP="002F7925">
      <w:pPr>
        <w:pStyle w:val="Default"/>
        <w:ind w:firstLine="720"/>
        <w:jc w:val="both"/>
        <w:rPr>
          <w:rFonts w:ascii="Times New Roman" w:hAnsi="Times New Roman" w:cs="Times New Roman"/>
        </w:rPr>
      </w:pPr>
      <w:r w:rsidRPr="00547A93">
        <w:rPr>
          <w:rFonts w:ascii="Times New Roman" w:hAnsi="Times New Roman" w:cs="Times New Roman"/>
        </w:rPr>
        <w:t>Sensori un to izvietojums ir jāprecizē, izstrādājot detalizētu monitoringa sistēmas būvprojekta risinājumu, balstoties uz tilta faktiskajām konstrukcijām un riskiem, kurus pretendents</w:t>
      </w:r>
      <w:r w:rsidR="00547A93">
        <w:rPr>
          <w:rFonts w:ascii="Times New Roman" w:hAnsi="Times New Roman" w:cs="Times New Roman"/>
        </w:rPr>
        <w:t>,</w:t>
      </w:r>
      <w:r w:rsidRPr="00547A93">
        <w:rPr>
          <w:rFonts w:ascii="Times New Roman" w:hAnsi="Times New Roman" w:cs="Times New Roman"/>
        </w:rPr>
        <w:t xml:space="preserve"> arī balstoties uz savu vanšu tiltu projektēšanas pieredzi</w:t>
      </w:r>
      <w:r w:rsidR="00547A93">
        <w:rPr>
          <w:rFonts w:ascii="Times New Roman" w:hAnsi="Times New Roman" w:cs="Times New Roman"/>
        </w:rPr>
        <w:t>,</w:t>
      </w:r>
      <w:r w:rsidRPr="00547A93">
        <w:rPr>
          <w:rFonts w:ascii="Times New Roman" w:hAnsi="Times New Roman" w:cs="Times New Roman"/>
        </w:rPr>
        <w:t xml:space="preserve"> ņem vērā jau konkursa stadijā.</w:t>
      </w:r>
    </w:p>
    <w:p w14:paraId="35323725" w14:textId="77777777" w:rsidR="002F7925" w:rsidRPr="00547A93" w:rsidRDefault="002F7925" w:rsidP="002F7925">
      <w:pPr>
        <w:pStyle w:val="Default"/>
        <w:ind w:firstLine="720"/>
        <w:jc w:val="both"/>
        <w:rPr>
          <w:rFonts w:ascii="Times New Roman" w:hAnsi="Times New Roman" w:cs="Times New Roman"/>
        </w:rPr>
      </w:pPr>
    </w:p>
    <w:p w14:paraId="627A5D0F" w14:textId="77777777" w:rsidR="002F7925" w:rsidRPr="00547A93" w:rsidRDefault="002F7925" w:rsidP="002F7925">
      <w:pPr>
        <w:pStyle w:val="Default"/>
        <w:ind w:firstLine="720"/>
        <w:jc w:val="both"/>
        <w:rPr>
          <w:rFonts w:ascii="Times New Roman" w:hAnsi="Times New Roman" w:cs="Times New Roman"/>
        </w:rPr>
      </w:pPr>
      <w:r w:rsidRPr="00547A93">
        <w:rPr>
          <w:rFonts w:ascii="Times New Roman" w:hAnsi="Times New Roman" w:cs="Times New Roman"/>
        </w:rPr>
        <w:lastRenderedPageBreak/>
        <w:t>Monitoringa datu apstrādei un glabāšanai nav nepieciešams dārgs vai sarežģīts datu centrs. Praktiski un ekonomiski pamatoti ir izmantot šādu risinājumu:</w:t>
      </w:r>
    </w:p>
    <w:p w14:paraId="0B50E165" w14:textId="77777777" w:rsidR="002F7925" w:rsidRPr="00547A93" w:rsidRDefault="002F7925" w:rsidP="002F7925">
      <w:pPr>
        <w:pStyle w:val="Default"/>
        <w:ind w:firstLine="720"/>
        <w:jc w:val="both"/>
        <w:rPr>
          <w:rFonts w:ascii="Times New Roman" w:hAnsi="Times New Roman" w:cs="Times New Roman"/>
        </w:rPr>
      </w:pPr>
    </w:p>
    <w:p w14:paraId="38E3841B" w14:textId="67307BC3"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Automatizēts datu logeris (gateway) pie tilta, kas reģistrē sensoru datus un nodrošina lokālu uzglabāšanu ar vismaz 3–6 mēnešu rezervi.</w:t>
      </w:r>
    </w:p>
    <w:p w14:paraId="12F5B49E" w14:textId="410347E6"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Datu pārraide uz centralizētu serveri: vispiemērotākais ir izmantot jau esošu pašvaldības vai Pasūtītāja IT infrastruktūru. Alternatīvi var izmantot arī ekonomisku mākoņpakalpojumu (piemēram, Microsoft Azure, Google Drive vai Latvijas/ES mākoņpakalpojumu sniedzēju), kur monitoringa dati tiek glabāti atsevišķā, šim projektam nodalītā mapē vai datu bāzē.</w:t>
      </w:r>
    </w:p>
    <w:p w14:paraId="70ECA8A2" w14:textId="04DE5A2E" w:rsidR="002F7925" w:rsidRPr="00547A93" w:rsidRDefault="002F7925" w:rsidP="00547A93">
      <w:pPr>
        <w:pStyle w:val="Default"/>
        <w:numPr>
          <w:ilvl w:val="0"/>
          <w:numId w:val="33"/>
        </w:numPr>
        <w:jc w:val="both"/>
        <w:rPr>
          <w:rFonts w:ascii="Times New Roman" w:hAnsi="Times New Roman" w:cs="Times New Roman"/>
        </w:rPr>
      </w:pPr>
      <w:r w:rsidRPr="00547A93">
        <w:rPr>
          <w:rFonts w:ascii="Times New Roman" w:hAnsi="Times New Roman" w:cs="Times New Roman"/>
        </w:rPr>
        <w:t>Programmatūras risinājums var būt web-bāzēta monitoringa platforma ar lietotāju tiesību pārvaldību — vislabāk izmantot ražotāja vai uzstādītāja jau gatavu risinājumu, kas nodrošina datu pieejamību jebkurā vietā ar interneta pieslēgumu.</w:t>
      </w:r>
    </w:p>
    <w:p w14:paraId="420E3FC5" w14:textId="77777777" w:rsidR="002F7925" w:rsidRPr="00547A93" w:rsidRDefault="002F7925" w:rsidP="002F7925">
      <w:pPr>
        <w:pStyle w:val="Default"/>
        <w:ind w:firstLine="720"/>
        <w:jc w:val="both"/>
        <w:rPr>
          <w:rFonts w:ascii="Times New Roman" w:hAnsi="Times New Roman" w:cs="Times New Roman"/>
        </w:rPr>
      </w:pPr>
    </w:p>
    <w:p w14:paraId="53D49D4B" w14:textId="37B13837" w:rsidR="00522932" w:rsidRPr="00547A93" w:rsidRDefault="002F7925" w:rsidP="002F7925">
      <w:pPr>
        <w:pStyle w:val="Default"/>
        <w:ind w:firstLine="720"/>
        <w:jc w:val="both"/>
        <w:rPr>
          <w:rFonts w:ascii="Times New Roman" w:eastAsia="Times New Roman" w:hAnsi="Times New Roman" w:cs="Times New Roman"/>
        </w:rPr>
      </w:pPr>
      <w:r w:rsidRPr="00547A93">
        <w:rPr>
          <w:rFonts w:ascii="Times New Roman" w:hAnsi="Times New Roman" w:cs="Times New Roman"/>
        </w:rPr>
        <w:t>Visos variantos jānodrošina datu piekļuve tikai pilnvarotām personām, kā arī regulāra datu dublēšana. Tehniskā projekta stadijā risinājums jāprecizē, ņemot vērā faktisko infrastruktūru un nepieciešamo monitoringa datu pieejamības līmeni.</w:t>
      </w:r>
    </w:p>
    <w:p w14:paraId="1EA33165" w14:textId="77777777" w:rsidR="00522932" w:rsidRPr="00547A93" w:rsidRDefault="00522932" w:rsidP="00522932">
      <w:pPr>
        <w:rPr>
          <w:rFonts w:ascii="Times New Roman" w:eastAsia="Calibri" w:hAnsi="Times New Roman" w:cs="Times New Roman"/>
          <w:sz w:val="24"/>
          <w:szCs w:val="24"/>
        </w:rPr>
      </w:pPr>
    </w:p>
    <w:p w14:paraId="368B05F3" w14:textId="77777777" w:rsidR="00522932" w:rsidRPr="00547A93" w:rsidRDefault="00522932" w:rsidP="00522932">
      <w:pPr>
        <w:rPr>
          <w:rFonts w:ascii="Times New Roman" w:hAnsi="Times New Roman" w:cs="Times New Roman"/>
          <w:sz w:val="24"/>
          <w:szCs w:val="24"/>
        </w:rPr>
      </w:pPr>
    </w:p>
    <w:p w14:paraId="0E6FF9FF" w14:textId="77777777" w:rsidR="00522932" w:rsidRPr="00547A93" w:rsidRDefault="00522932" w:rsidP="00522932">
      <w:pPr>
        <w:rPr>
          <w:rFonts w:ascii="Times New Roman" w:hAnsi="Times New Roman" w:cs="Times New Roman"/>
          <w:sz w:val="24"/>
          <w:szCs w:val="24"/>
        </w:rPr>
      </w:pPr>
    </w:p>
    <w:sectPr w:rsidR="00522932" w:rsidRPr="00547A93"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5C86" w14:textId="77777777" w:rsidR="00A417E5" w:rsidRDefault="00A417E5" w:rsidP="009160AC">
      <w:pPr>
        <w:spacing w:after="0" w:line="240" w:lineRule="auto"/>
      </w:pPr>
      <w:r>
        <w:separator/>
      </w:r>
    </w:p>
  </w:endnote>
  <w:endnote w:type="continuationSeparator" w:id="0">
    <w:p w14:paraId="174263B7" w14:textId="77777777" w:rsidR="00A417E5" w:rsidRDefault="00A417E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9018F" w14:textId="77777777" w:rsidR="00A417E5" w:rsidRDefault="00A417E5" w:rsidP="009160AC">
      <w:pPr>
        <w:spacing w:after="0" w:line="240" w:lineRule="auto"/>
      </w:pPr>
      <w:r>
        <w:separator/>
      </w:r>
    </w:p>
  </w:footnote>
  <w:footnote w:type="continuationSeparator" w:id="0">
    <w:p w14:paraId="010BA932" w14:textId="77777777" w:rsidR="00A417E5" w:rsidRDefault="00A417E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7020A8"/>
    <w:multiLevelType w:val="hybridMultilevel"/>
    <w:tmpl w:val="58D42848"/>
    <w:lvl w:ilvl="0" w:tplc="048E0DA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24128DA"/>
    <w:multiLevelType w:val="hybridMultilevel"/>
    <w:tmpl w:val="EB5825A4"/>
    <w:lvl w:ilvl="0" w:tplc="1F2A158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8100D3B"/>
    <w:multiLevelType w:val="hybridMultilevel"/>
    <w:tmpl w:val="67F82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30"/>
  </w:num>
  <w:num w:numId="4" w16cid:durableId="1937210401">
    <w:abstractNumId w:val="14"/>
  </w:num>
  <w:num w:numId="5" w16cid:durableId="190841310">
    <w:abstractNumId w:val="7"/>
  </w:num>
  <w:num w:numId="6" w16cid:durableId="808401699">
    <w:abstractNumId w:val="17"/>
  </w:num>
  <w:num w:numId="7" w16cid:durableId="308830484">
    <w:abstractNumId w:val="13"/>
  </w:num>
  <w:num w:numId="8" w16cid:durableId="1771730384">
    <w:abstractNumId w:val="28"/>
  </w:num>
  <w:num w:numId="9" w16cid:durableId="1781414101">
    <w:abstractNumId w:val="5"/>
  </w:num>
  <w:num w:numId="10" w16cid:durableId="102655186">
    <w:abstractNumId w:val="26"/>
  </w:num>
  <w:num w:numId="11" w16cid:durableId="1316183936">
    <w:abstractNumId w:val="23"/>
  </w:num>
  <w:num w:numId="12" w16cid:durableId="1582448332">
    <w:abstractNumId w:val="24"/>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0"/>
  </w:num>
  <w:num w:numId="15" w16cid:durableId="17884254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9"/>
  </w:num>
  <w:num w:numId="19" w16cid:durableId="1949303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6"/>
  </w:num>
  <w:num w:numId="21" w16cid:durableId="1617105930">
    <w:abstractNumId w:val="0"/>
  </w:num>
  <w:num w:numId="22" w16cid:durableId="670648398">
    <w:abstractNumId w:val="15"/>
  </w:num>
  <w:num w:numId="23" w16cid:durableId="150291376">
    <w:abstractNumId w:val="25"/>
  </w:num>
  <w:num w:numId="24" w16cid:durableId="1444106889">
    <w:abstractNumId w:val="22"/>
  </w:num>
  <w:num w:numId="25" w16cid:durableId="1342775083">
    <w:abstractNumId w:val="27"/>
  </w:num>
  <w:num w:numId="26" w16cid:durableId="14151248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86087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7286953">
    <w:abstractNumId w:val="20"/>
  </w:num>
  <w:num w:numId="32" w16cid:durableId="1078985329">
    <w:abstractNumId w:val="8"/>
  </w:num>
  <w:num w:numId="33" w16cid:durableId="710425010">
    <w:abstractNumId w:val="11"/>
  </w:num>
  <w:num w:numId="34" w16cid:durableId="116338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57BD1"/>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4698"/>
    <w:rsid w:val="001C6E23"/>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E7072"/>
    <w:rsid w:val="002F261D"/>
    <w:rsid w:val="002F3484"/>
    <w:rsid w:val="002F7925"/>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5818"/>
    <w:rsid w:val="003A7964"/>
    <w:rsid w:val="003C3148"/>
    <w:rsid w:val="003D1F1A"/>
    <w:rsid w:val="003E2D67"/>
    <w:rsid w:val="003F72CF"/>
    <w:rsid w:val="0042744D"/>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22932"/>
    <w:rsid w:val="00533E65"/>
    <w:rsid w:val="00544C6E"/>
    <w:rsid w:val="00547A93"/>
    <w:rsid w:val="00553813"/>
    <w:rsid w:val="0055775B"/>
    <w:rsid w:val="00564C85"/>
    <w:rsid w:val="00567122"/>
    <w:rsid w:val="00596A2E"/>
    <w:rsid w:val="005A5802"/>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66898"/>
    <w:rsid w:val="00786058"/>
    <w:rsid w:val="007904F5"/>
    <w:rsid w:val="00791EA0"/>
    <w:rsid w:val="00792E19"/>
    <w:rsid w:val="00796CF2"/>
    <w:rsid w:val="007A3914"/>
    <w:rsid w:val="007A4A4A"/>
    <w:rsid w:val="007B010A"/>
    <w:rsid w:val="007F7274"/>
    <w:rsid w:val="00844E03"/>
    <w:rsid w:val="008466D7"/>
    <w:rsid w:val="00851A35"/>
    <w:rsid w:val="00855E13"/>
    <w:rsid w:val="00855EF5"/>
    <w:rsid w:val="00860D0F"/>
    <w:rsid w:val="00861E5A"/>
    <w:rsid w:val="00863914"/>
    <w:rsid w:val="008706F6"/>
    <w:rsid w:val="0087677F"/>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2808"/>
    <w:rsid w:val="009B58AB"/>
    <w:rsid w:val="009B5B42"/>
    <w:rsid w:val="009D0E3E"/>
    <w:rsid w:val="009D3BA4"/>
    <w:rsid w:val="00A020A7"/>
    <w:rsid w:val="00A070FA"/>
    <w:rsid w:val="00A07785"/>
    <w:rsid w:val="00A155F8"/>
    <w:rsid w:val="00A417E5"/>
    <w:rsid w:val="00A566A7"/>
    <w:rsid w:val="00A829D8"/>
    <w:rsid w:val="00A86FD1"/>
    <w:rsid w:val="00A910CE"/>
    <w:rsid w:val="00AA3B15"/>
    <w:rsid w:val="00AA3B2F"/>
    <w:rsid w:val="00AA3C0D"/>
    <w:rsid w:val="00AA6E55"/>
    <w:rsid w:val="00AB26B0"/>
    <w:rsid w:val="00AB42DF"/>
    <w:rsid w:val="00AB4ED0"/>
    <w:rsid w:val="00AC1A65"/>
    <w:rsid w:val="00AC35D6"/>
    <w:rsid w:val="00AD1253"/>
    <w:rsid w:val="00AD4E76"/>
    <w:rsid w:val="00AF71C5"/>
    <w:rsid w:val="00B03D6C"/>
    <w:rsid w:val="00B04709"/>
    <w:rsid w:val="00B0684C"/>
    <w:rsid w:val="00B06DFC"/>
    <w:rsid w:val="00B205DD"/>
    <w:rsid w:val="00B32FF9"/>
    <w:rsid w:val="00B53989"/>
    <w:rsid w:val="00B57AC3"/>
    <w:rsid w:val="00B62F33"/>
    <w:rsid w:val="00B63DE4"/>
    <w:rsid w:val="00BA13A1"/>
    <w:rsid w:val="00BA3E76"/>
    <w:rsid w:val="00BA6724"/>
    <w:rsid w:val="00BA7B7F"/>
    <w:rsid w:val="00BC1321"/>
    <w:rsid w:val="00BC4B41"/>
    <w:rsid w:val="00BC5C95"/>
    <w:rsid w:val="00BC7676"/>
    <w:rsid w:val="00BD250A"/>
    <w:rsid w:val="00BF78F1"/>
    <w:rsid w:val="00C00E4D"/>
    <w:rsid w:val="00C24BAF"/>
    <w:rsid w:val="00C34BF7"/>
    <w:rsid w:val="00C57D56"/>
    <w:rsid w:val="00C6272C"/>
    <w:rsid w:val="00C6439D"/>
    <w:rsid w:val="00C7081A"/>
    <w:rsid w:val="00C75889"/>
    <w:rsid w:val="00C867DC"/>
    <w:rsid w:val="00CA123B"/>
    <w:rsid w:val="00CA125B"/>
    <w:rsid w:val="00CB5636"/>
    <w:rsid w:val="00CF7F75"/>
    <w:rsid w:val="00D206A7"/>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225A"/>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55D28"/>
    <w:rsid w:val="00F56B83"/>
    <w:rsid w:val="00F62FF1"/>
    <w:rsid w:val="00F96D59"/>
    <w:rsid w:val="00FB3404"/>
    <w:rsid w:val="00FC7957"/>
    <w:rsid w:val="00FD0667"/>
    <w:rsid w:val="00FD087B"/>
    <w:rsid w:val="00FD2511"/>
    <w:rsid w:val="00FF39B2"/>
    <w:rsid w:val="00FF4924"/>
    <w:rsid w:val="00FF4F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18674692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0533451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4</Pages>
  <Words>4114</Words>
  <Characters>2345</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33</cp:revision>
  <cp:lastPrinted>2025-06-10T11:15:00Z</cp:lastPrinted>
  <dcterms:created xsi:type="dcterms:W3CDTF">2025-02-25T13:23:00Z</dcterms:created>
  <dcterms:modified xsi:type="dcterms:W3CDTF">2025-07-29T12:57:00Z</dcterms:modified>
</cp:coreProperties>
</file>